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B5C" w:rsidRPr="00F13C93" w:rsidRDefault="00316C39" w:rsidP="00DE0B5C">
      <w:pPr>
        <w:pStyle w:val="2"/>
        <w:spacing w:line="320" w:lineRule="exact"/>
        <w:jc w:val="center"/>
      </w:pPr>
      <w:r>
        <w:t xml:space="preserve">                                                                                                                                                                                                                                                                                          </w:t>
      </w:r>
      <w:r w:rsidR="00DE0B5C" w:rsidRPr="00F13C93">
        <w:t>КОНТРОЛЬНО-СЧЕТНАЯ ПАЛАТА</w:t>
      </w:r>
    </w:p>
    <w:p w:rsidR="00DE0B5C" w:rsidRPr="00F13C93" w:rsidRDefault="00DE0B5C" w:rsidP="00DE0B5C">
      <w:pPr>
        <w:jc w:val="center"/>
        <w:rPr>
          <w:b/>
          <w:sz w:val="28"/>
          <w:szCs w:val="28"/>
        </w:rPr>
      </w:pPr>
      <w:r w:rsidRPr="00F13C93">
        <w:rPr>
          <w:b/>
          <w:sz w:val="28"/>
          <w:szCs w:val="28"/>
        </w:rPr>
        <w:t xml:space="preserve">  МУНИЦИПАЛЬНОГО ОБРАЗОВАНИЯ ТИМАШЕВСКИЙ РАЙОН</w:t>
      </w:r>
    </w:p>
    <w:p w:rsidR="00DE0B5C" w:rsidRPr="00F13C93" w:rsidRDefault="00DE0B5C" w:rsidP="00DE0B5C">
      <w:pPr>
        <w:jc w:val="center"/>
        <w:rPr>
          <w:b/>
          <w:sz w:val="28"/>
          <w:szCs w:val="28"/>
        </w:rPr>
      </w:pPr>
    </w:p>
    <w:p w:rsidR="00DE0B5C" w:rsidRPr="00F13C93" w:rsidRDefault="00DE0B5C" w:rsidP="00DE0B5C">
      <w:pPr>
        <w:jc w:val="center"/>
        <w:rPr>
          <w:b/>
          <w:sz w:val="28"/>
          <w:szCs w:val="28"/>
        </w:rPr>
      </w:pPr>
    </w:p>
    <w:p w:rsidR="00DE0B5C" w:rsidRPr="00073405" w:rsidRDefault="00DE0B5C" w:rsidP="00866A99">
      <w:pPr>
        <w:pStyle w:val="a5"/>
        <w:ind w:left="567"/>
        <w:jc w:val="center"/>
        <w:rPr>
          <w:b/>
          <w:sz w:val="28"/>
          <w:szCs w:val="28"/>
        </w:rPr>
      </w:pPr>
      <w:r w:rsidRPr="00073405">
        <w:rPr>
          <w:b/>
          <w:sz w:val="28"/>
          <w:szCs w:val="28"/>
        </w:rPr>
        <w:t>ОТЧЕТ</w:t>
      </w:r>
    </w:p>
    <w:p w:rsidR="00A74701" w:rsidRPr="004C27C7" w:rsidRDefault="00DE0B5C" w:rsidP="00866A99">
      <w:pPr>
        <w:pStyle w:val="a6"/>
        <w:ind w:left="567" w:right="-1"/>
        <w:jc w:val="center"/>
        <w:rPr>
          <w:rFonts w:ascii="Times New Roman" w:hAnsi="Times New Roman"/>
          <w:b/>
          <w:sz w:val="28"/>
          <w:szCs w:val="28"/>
        </w:rPr>
      </w:pPr>
      <w:r w:rsidRPr="00073405">
        <w:rPr>
          <w:rFonts w:ascii="Times New Roman" w:hAnsi="Times New Roman"/>
          <w:b/>
          <w:sz w:val="28"/>
          <w:szCs w:val="28"/>
        </w:rPr>
        <w:t>о результатах</w:t>
      </w:r>
      <w:r w:rsidR="000C4ECD" w:rsidRPr="00073405">
        <w:rPr>
          <w:rFonts w:ascii="Times New Roman" w:hAnsi="Times New Roman"/>
          <w:b/>
          <w:sz w:val="28"/>
          <w:szCs w:val="28"/>
        </w:rPr>
        <w:t xml:space="preserve"> </w:t>
      </w:r>
      <w:r w:rsidR="006026B3" w:rsidRPr="00073405">
        <w:rPr>
          <w:rFonts w:ascii="Times New Roman" w:hAnsi="Times New Roman"/>
          <w:b/>
          <w:sz w:val="28"/>
          <w:szCs w:val="28"/>
        </w:rPr>
        <w:t>проверки достоверности, полноты и соответствия нормативным требованиям составления и предоставления бюджетной отчетности главных администраторов</w:t>
      </w:r>
      <w:r w:rsidR="000C4ECD" w:rsidRPr="00073405">
        <w:rPr>
          <w:rFonts w:ascii="Times New Roman" w:hAnsi="Times New Roman"/>
          <w:b/>
          <w:sz w:val="28"/>
          <w:szCs w:val="28"/>
        </w:rPr>
        <w:t xml:space="preserve"> </w:t>
      </w:r>
      <w:r w:rsidR="006026B3" w:rsidRPr="00073405">
        <w:rPr>
          <w:rFonts w:ascii="Times New Roman" w:hAnsi="Times New Roman"/>
          <w:b/>
          <w:sz w:val="28"/>
          <w:szCs w:val="28"/>
        </w:rPr>
        <w:t xml:space="preserve">бюджетных средств </w:t>
      </w:r>
      <w:r w:rsidR="00073405" w:rsidRPr="00073405">
        <w:rPr>
          <w:rFonts w:ascii="Times New Roman" w:hAnsi="Times New Roman"/>
          <w:b/>
          <w:sz w:val="28"/>
          <w:szCs w:val="28"/>
        </w:rPr>
        <w:t>сельского</w:t>
      </w:r>
      <w:r w:rsidR="006026B3" w:rsidRPr="00073405">
        <w:rPr>
          <w:rFonts w:ascii="Times New Roman" w:hAnsi="Times New Roman"/>
          <w:b/>
          <w:sz w:val="28"/>
          <w:szCs w:val="28"/>
        </w:rPr>
        <w:t xml:space="preserve"> поселения </w:t>
      </w:r>
      <w:r w:rsidR="00073405" w:rsidRPr="004C27C7">
        <w:rPr>
          <w:rFonts w:ascii="Times New Roman" w:hAnsi="Times New Roman"/>
          <w:b/>
          <w:sz w:val="28"/>
          <w:szCs w:val="28"/>
        </w:rPr>
        <w:t xml:space="preserve">Кубанец </w:t>
      </w:r>
      <w:r w:rsidR="006026B3" w:rsidRPr="004C27C7">
        <w:rPr>
          <w:rFonts w:ascii="Times New Roman" w:hAnsi="Times New Roman"/>
          <w:b/>
          <w:sz w:val="28"/>
          <w:szCs w:val="28"/>
        </w:rPr>
        <w:t>Тимашевского района</w:t>
      </w:r>
    </w:p>
    <w:p w:rsidR="001B77CF" w:rsidRPr="004C27C7" w:rsidRDefault="006026B3" w:rsidP="00866A99">
      <w:pPr>
        <w:pStyle w:val="a6"/>
        <w:ind w:left="567" w:right="-1"/>
        <w:jc w:val="center"/>
        <w:rPr>
          <w:rFonts w:ascii="Times New Roman" w:hAnsi="Times New Roman"/>
          <w:b/>
          <w:sz w:val="28"/>
          <w:szCs w:val="28"/>
        </w:rPr>
      </w:pPr>
      <w:r w:rsidRPr="004C27C7">
        <w:rPr>
          <w:rFonts w:ascii="Times New Roman" w:hAnsi="Times New Roman"/>
          <w:b/>
          <w:sz w:val="28"/>
          <w:szCs w:val="28"/>
        </w:rPr>
        <w:t>за 20</w:t>
      </w:r>
      <w:r w:rsidR="004B1616" w:rsidRPr="004C27C7">
        <w:rPr>
          <w:rFonts w:ascii="Times New Roman" w:hAnsi="Times New Roman"/>
          <w:b/>
          <w:sz w:val="28"/>
          <w:szCs w:val="28"/>
        </w:rPr>
        <w:t>21</w:t>
      </w:r>
      <w:r w:rsidR="000E189A" w:rsidRPr="004C27C7">
        <w:rPr>
          <w:rFonts w:ascii="Times New Roman" w:hAnsi="Times New Roman"/>
          <w:b/>
          <w:sz w:val="28"/>
          <w:szCs w:val="28"/>
        </w:rPr>
        <w:t xml:space="preserve"> </w:t>
      </w:r>
      <w:r w:rsidRPr="004C27C7">
        <w:rPr>
          <w:rFonts w:ascii="Times New Roman" w:hAnsi="Times New Roman"/>
          <w:b/>
          <w:sz w:val="28"/>
          <w:szCs w:val="28"/>
        </w:rPr>
        <w:t>год</w:t>
      </w:r>
      <w:r w:rsidR="001B77CF" w:rsidRPr="004C27C7">
        <w:rPr>
          <w:rFonts w:ascii="Times New Roman" w:hAnsi="Times New Roman"/>
          <w:b/>
          <w:sz w:val="28"/>
          <w:szCs w:val="28"/>
        </w:rPr>
        <w:t>.</w:t>
      </w:r>
    </w:p>
    <w:p w:rsidR="00DE0B5C" w:rsidRPr="004C27C7" w:rsidRDefault="00DE0B5C" w:rsidP="00DE0B5C">
      <w:pPr>
        <w:jc w:val="center"/>
        <w:rPr>
          <w:b/>
          <w:sz w:val="28"/>
          <w:szCs w:val="28"/>
        </w:rPr>
      </w:pPr>
    </w:p>
    <w:p w:rsidR="00DE0B5C" w:rsidRPr="004C27C7" w:rsidRDefault="00DE0B5C" w:rsidP="00DE0B5C">
      <w:pPr>
        <w:pStyle w:val="a5"/>
        <w:jc w:val="center"/>
        <w:rPr>
          <w:b/>
          <w:sz w:val="28"/>
          <w:szCs w:val="28"/>
        </w:rPr>
      </w:pPr>
    </w:p>
    <w:p w:rsidR="00DE0B5C" w:rsidRPr="004C27C7" w:rsidRDefault="00A96FA7" w:rsidP="00DE0B5C">
      <w:pPr>
        <w:jc w:val="center"/>
        <w:rPr>
          <w:sz w:val="28"/>
          <w:szCs w:val="28"/>
        </w:rPr>
      </w:pPr>
      <w:r w:rsidRPr="004C27C7">
        <w:rPr>
          <w:sz w:val="28"/>
          <w:szCs w:val="28"/>
        </w:rPr>
        <w:t xml:space="preserve">        </w:t>
      </w:r>
      <w:r w:rsidR="00DE0B5C" w:rsidRPr="004C27C7">
        <w:rPr>
          <w:sz w:val="28"/>
          <w:szCs w:val="28"/>
        </w:rPr>
        <w:t xml:space="preserve">г. Тимашевск                                                                              </w:t>
      </w:r>
      <w:r w:rsidR="004324D5">
        <w:rPr>
          <w:sz w:val="28"/>
          <w:szCs w:val="28"/>
        </w:rPr>
        <w:t>11 мая</w:t>
      </w:r>
      <w:r w:rsidR="00DE0B5C" w:rsidRPr="004C27C7">
        <w:rPr>
          <w:sz w:val="28"/>
          <w:szCs w:val="28"/>
        </w:rPr>
        <w:t xml:space="preserve"> 20</w:t>
      </w:r>
      <w:r w:rsidR="00787987" w:rsidRPr="004C27C7">
        <w:rPr>
          <w:sz w:val="28"/>
          <w:szCs w:val="28"/>
        </w:rPr>
        <w:t>2</w:t>
      </w:r>
      <w:r w:rsidR="004B1616" w:rsidRPr="004C27C7">
        <w:rPr>
          <w:sz w:val="28"/>
          <w:szCs w:val="28"/>
        </w:rPr>
        <w:t>2г</w:t>
      </w:r>
      <w:r w:rsidR="00DE0B5C" w:rsidRPr="004C27C7">
        <w:rPr>
          <w:sz w:val="28"/>
          <w:szCs w:val="28"/>
        </w:rPr>
        <w:t>.</w:t>
      </w:r>
    </w:p>
    <w:p w:rsidR="006C02E1" w:rsidRPr="00073405" w:rsidRDefault="006C02E1">
      <w:pPr>
        <w:rPr>
          <w:sz w:val="28"/>
          <w:szCs w:val="28"/>
        </w:rPr>
      </w:pPr>
    </w:p>
    <w:p w:rsidR="004C27C7" w:rsidRPr="004C27C7" w:rsidRDefault="004C27C7" w:rsidP="004C27C7">
      <w:pPr>
        <w:autoSpaceDE w:val="0"/>
        <w:autoSpaceDN w:val="0"/>
        <w:adjustRightInd w:val="0"/>
        <w:ind w:firstLine="709"/>
        <w:jc w:val="both"/>
        <w:rPr>
          <w:bCs/>
          <w:sz w:val="28"/>
          <w:szCs w:val="28"/>
        </w:rPr>
      </w:pPr>
      <w:bookmarkStart w:id="0" w:name="_GoBack"/>
      <w:bookmarkEnd w:id="0"/>
      <w:r w:rsidRPr="004C27C7">
        <w:rPr>
          <w:sz w:val="28"/>
          <w:szCs w:val="28"/>
        </w:rPr>
        <w:t xml:space="preserve">В </w:t>
      </w:r>
      <w:r w:rsidRPr="00616AD6">
        <w:rPr>
          <w:sz w:val="28"/>
          <w:szCs w:val="28"/>
        </w:rPr>
        <w:t xml:space="preserve">соответствии с требованиями, установленными статьёй </w:t>
      </w:r>
      <w:r w:rsidRPr="00616AD6">
        <w:rPr>
          <w:bCs/>
          <w:sz w:val="28"/>
          <w:szCs w:val="28"/>
        </w:rPr>
        <w:t xml:space="preserve">264.4 БК РФ и </w:t>
      </w:r>
      <w:r w:rsidR="00616AD6" w:rsidRPr="00616AD6">
        <w:rPr>
          <w:bCs/>
          <w:sz w:val="28"/>
          <w:szCs w:val="28"/>
        </w:rPr>
        <w:t>статьи 19</w:t>
      </w:r>
      <w:r w:rsidRPr="00616AD6">
        <w:rPr>
          <w:bCs/>
          <w:sz w:val="28"/>
          <w:szCs w:val="28"/>
        </w:rPr>
        <w:t xml:space="preserve"> Положения о бюджетном процессе, контрольно-счётной палатой проведена внешняя проверка </w:t>
      </w:r>
      <w:r w:rsidRPr="004C27C7">
        <w:rPr>
          <w:bCs/>
          <w:sz w:val="28"/>
          <w:szCs w:val="28"/>
        </w:rPr>
        <w:t xml:space="preserve">годовой бюджетной отчетности главных администраторов средств </w:t>
      </w:r>
      <w:r w:rsidR="005419AF">
        <w:rPr>
          <w:bCs/>
          <w:sz w:val="28"/>
          <w:szCs w:val="28"/>
        </w:rPr>
        <w:t>местного</w:t>
      </w:r>
      <w:r w:rsidRPr="004C27C7">
        <w:rPr>
          <w:bCs/>
          <w:sz w:val="28"/>
          <w:szCs w:val="28"/>
        </w:rPr>
        <w:t xml:space="preserve"> бюджета, по результатам проверки составлены соответствующие акты (акты прилагаются).</w:t>
      </w:r>
    </w:p>
    <w:p w:rsidR="004C27C7" w:rsidRPr="004C27C7" w:rsidRDefault="004C27C7" w:rsidP="004C27C7">
      <w:pPr>
        <w:autoSpaceDE w:val="0"/>
        <w:autoSpaceDN w:val="0"/>
        <w:adjustRightInd w:val="0"/>
        <w:ind w:firstLine="709"/>
        <w:jc w:val="both"/>
        <w:rPr>
          <w:sz w:val="28"/>
          <w:szCs w:val="28"/>
        </w:rPr>
      </w:pPr>
      <w:r w:rsidRPr="004C27C7">
        <w:rPr>
          <w:sz w:val="28"/>
          <w:szCs w:val="28"/>
        </w:rPr>
        <w:t>В целом работа главными администраторами (главными распорядителями) средств местного бюджета в 2021 году по бюджетному учету и составлению бюджетной отчетности велась в соответствии с требованиями бюджетного законодательства, на основе приказов, положений, инструкций и рекомендаций Министерства финансов Российской Федерации и Министерства финансов Краснодарского края.</w:t>
      </w:r>
    </w:p>
    <w:p w:rsidR="00BB61A4" w:rsidRDefault="00BB61A4" w:rsidP="00BB61A4">
      <w:pPr>
        <w:ind w:firstLine="709"/>
        <w:jc w:val="both"/>
        <w:rPr>
          <w:bCs/>
          <w:sz w:val="28"/>
          <w:szCs w:val="28"/>
        </w:rPr>
      </w:pPr>
      <w:r>
        <w:rPr>
          <w:bCs/>
          <w:sz w:val="28"/>
          <w:szCs w:val="28"/>
        </w:rPr>
        <w:t>Бюджетная отчетность за 2021 год составлена главным администратором бюджетных средств по формам Инструкции, утвержденной Приказом Министерства финансов РФ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BB61A4" w:rsidRPr="000C73D3" w:rsidRDefault="00BB61A4" w:rsidP="00BB61A4">
      <w:pPr>
        <w:autoSpaceDE w:val="0"/>
        <w:autoSpaceDN w:val="0"/>
        <w:adjustRightInd w:val="0"/>
        <w:ind w:firstLine="709"/>
        <w:jc w:val="both"/>
        <w:rPr>
          <w:sz w:val="28"/>
          <w:szCs w:val="28"/>
        </w:rPr>
      </w:pPr>
      <w:r w:rsidRPr="000C73D3">
        <w:rPr>
          <w:sz w:val="28"/>
          <w:szCs w:val="28"/>
        </w:rPr>
        <w:t xml:space="preserve">Показатели годовой бюджетной отчетности об исполнении бюджета соответствуют данным Отдела № 45 Управления Федерального казначейства по Краснодарскому краю и отражают операции главных администраторов средств </w:t>
      </w:r>
      <w:r>
        <w:rPr>
          <w:sz w:val="28"/>
          <w:szCs w:val="28"/>
        </w:rPr>
        <w:t xml:space="preserve">местного бюджета </w:t>
      </w:r>
      <w:r w:rsidRPr="000C73D3">
        <w:rPr>
          <w:sz w:val="28"/>
          <w:szCs w:val="28"/>
        </w:rPr>
        <w:t>и результаты финансовой деятельности за 20</w:t>
      </w:r>
      <w:r>
        <w:rPr>
          <w:sz w:val="28"/>
          <w:szCs w:val="28"/>
        </w:rPr>
        <w:t xml:space="preserve">21 </w:t>
      </w:r>
      <w:r w:rsidRPr="000C73D3">
        <w:rPr>
          <w:sz w:val="28"/>
          <w:szCs w:val="28"/>
        </w:rPr>
        <w:t>год.</w:t>
      </w:r>
    </w:p>
    <w:p w:rsidR="009A30E0" w:rsidRDefault="009A30E0" w:rsidP="009A30E0">
      <w:pPr>
        <w:autoSpaceDE w:val="0"/>
        <w:autoSpaceDN w:val="0"/>
        <w:adjustRightInd w:val="0"/>
        <w:ind w:firstLine="720"/>
        <w:jc w:val="both"/>
        <w:rPr>
          <w:sz w:val="28"/>
          <w:szCs w:val="28"/>
        </w:rPr>
      </w:pPr>
      <w:r>
        <w:rPr>
          <w:sz w:val="28"/>
          <w:szCs w:val="28"/>
        </w:rPr>
        <w:t xml:space="preserve">Данные по объему доходов, расходов и источников финансирования дефицита бюджета, представленные в Отчете об исполнении бюджета, согласуются с данными, отраженными в годовой бюджетной отчетности   главных администраторов (главных распорядителей) средств местного бюджета, что свидетельствует о достоверности представленного отчета, как носителя информации о бюджетной деятельности в поселении.  </w:t>
      </w:r>
    </w:p>
    <w:p w:rsidR="009A30E0" w:rsidRPr="00B12D85" w:rsidRDefault="009A30E0" w:rsidP="009A30E0">
      <w:pPr>
        <w:autoSpaceDE w:val="0"/>
        <w:autoSpaceDN w:val="0"/>
        <w:adjustRightInd w:val="0"/>
        <w:ind w:firstLine="720"/>
        <w:jc w:val="both"/>
        <w:rPr>
          <w:sz w:val="28"/>
          <w:szCs w:val="28"/>
        </w:rPr>
      </w:pPr>
      <w:r w:rsidRPr="00B12D85">
        <w:rPr>
          <w:sz w:val="28"/>
          <w:szCs w:val="28"/>
        </w:rPr>
        <w:t xml:space="preserve">Показатели исполнения доходной и расходной частей бюджета, приведенные в проекте Решения «Об утверждении годового отчета об исполнении </w:t>
      </w:r>
      <w:r w:rsidRPr="00616AD6">
        <w:rPr>
          <w:sz w:val="28"/>
          <w:szCs w:val="28"/>
        </w:rPr>
        <w:t xml:space="preserve">бюджета сельского поселения Кубанец Тимашевского района за </w:t>
      </w:r>
      <w:r w:rsidRPr="00616AD6">
        <w:rPr>
          <w:sz w:val="28"/>
          <w:szCs w:val="28"/>
        </w:rPr>
        <w:lastRenderedPageBreak/>
        <w:t>2021 год», соответствует показателям Отчета. Состав приложений к проекту Решения соответствует перечню, приведенному в ст</w:t>
      </w:r>
      <w:r w:rsidR="00616AD6" w:rsidRPr="00616AD6">
        <w:rPr>
          <w:sz w:val="28"/>
          <w:szCs w:val="28"/>
        </w:rPr>
        <w:t>атье 264.6 БК РФ и статьи 19</w:t>
      </w:r>
      <w:r w:rsidRPr="00616AD6">
        <w:rPr>
          <w:sz w:val="28"/>
          <w:szCs w:val="28"/>
        </w:rPr>
        <w:t xml:space="preserve"> Положения о бюджетном процессе</w:t>
      </w:r>
      <w:r w:rsidRPr="00B12D85">
        <w:rPr>
          <w:sz w:val="28"/>
          <w:szCs w:val="28"/>
        </w:rPr>
        <w:t xml:space="preserve">.    </w:t>
      </w:r>
    </w:p>
    <w:p w:rsidR="00BB61A4" w:rsidRDefault="00BB61A4" w:rsidP="00BB61A4">
      <w:pPr>
        <w:autoSpaceDE w:val="0"/>
        <w:autoSpaceDN w:val="0"/>
        <w:adjustRightInd w:val="0"/>
        <w:ind w:firstLine="709"/>
        <w:jc w:val="both"/>
        <w:rPr>
          <w:sz w:val="28"/>
          <w:szCs w:val="28"/>
        </w:rPr>
      </w:pPr>
      <w:r w:rsidRPr="00B12D85">
        <w:rPr>
          <w:sz w:val="28"/>
          <w:szCs w:val="28"/>
        </w:rPr>
        <w:t>В соответствии с Инструкцией о порядке</w:t>
      </w:r>
      <w:r w:rsidRPr="00110487">
        <w:rPr>
          <w:sz w:val="28"/>
          <w:szCs w:val="28"/>
        </w:rPr>
        <w:t xml:space="preserve">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w:t>
      </w:r>
      <w:r>
        <w:rPr>
          <w:sz w:val="28"/>
          <w:szCs w:val="28"/>
        </w:rPr>
        <w:t xml:space="preserve"> главными администраторами средств местного бюджета</w:t>
      </w:r>
      <w:r w:rsidRPr="006E417C">
        <w:rPr>
          <w:sz w:val="28"/>
          <w:szCs w:val="28"/>
        </w:rPr>
        <w:t xml:space="preserve"> </w:t>
      </w:r>
      <w:r>
        <w:rPr>
          <w:sz w:val="28"/>
          <w:szCs w:val="28"/>
        </w:rPr>
        <w:t>выявлена несогласованность в различных отчётных формах одноименных показателей годовой бюджетной отчётности:</w:t>
      </w:r>
    </w:p>
    <w:p w:rsidR="00BB61A4" w:rsidRDefault="00BB61A4" w:rsidP="00BB61A4">
      <w:pPr>
        <w:ind w:firstLine="708"/>
        <w:jc w:val="both"/>
        <w:rPr>
          <w:sz w:val="28"/>
          <w:szCs w:val="28"/>
        </w:rPr>
      </w:pPr>
      <w:r>
        <w:rPr>
          <w:sz w:val="28"/>
          <w:szCs w:val="28"/>
        </w:rPr>
        <w:t>1. В нарушение</w:t>
      </w:r>
      <w:r w:rsidRPr="00883F00">
        <w:rPr>
          <w:sz w:val="28"/>
          <w:szCs w:val="28"/>
        </w:rPr>
        <w:t xml:space="preserve"> пункт</w:t>
      </w:r>
      <w:r>
        <w:rPr>
          <w:sz w:val="28"/>
          <w:szCs w:val="28"/>
        </w:rPr>
        <w:t>а</w:t>
      </w:r>
      <w:r w:rsidRPr="00883F00">
        <w:rPr>
          <w:sz w:val="28"/>
          <w:szCs w:val="28"/>
        </w:rPr>
        <w:t xml:space="preserve"> 163 Инструкции № 191н </w:t>
      </w:r>
      <w:r w:rsidRPr="00883F00">
        <w:rPr>
          <w:sz w:val="28"/>
          <w:szCs w:val="28"/>
          <w:shd w:val="clear" w:color="auto" w:fill="FFFFFF"/>
        </w:rPr>
        <w:t xml:space="preserve">в графе 5 </w:t>
      </w:r>
      <w:r>
        <w:rPr>
          <w:sz w:val="28"/>
          <w:szCs w:val="28"/>
        </w:rPr>
        <w:t>по строкам 200 «Расходы бюджета, всего», 450 «Результат исполнения бюджета», 500 «Источники финансирования дефицита бюджета» в ф. 0503164 выявлено искажение показателей на 67 300,00 руб., вследствие учета по данным строкам расходов ГАБС 991 (Совета сельского поселения Кубанец Тимашевского района).</w:t>
      </w:r>
    </w:p>
    <w:p w:rsidR="00BB61A4" w:rsidRDefault="00BB61A4" w:rsidP="00BB61A4">
      <w:pPr>
        <w:ind w:firstLine="708"/>
        <w:jc w:val="both"/>
        <w:rPr>
          <w:sz w:val="28"/>
          <w:szCs w:val="28"/>
        </w:rPr>
      </w:pPr>
      <w:r>
        <w:rPr>
          <w:sz w:val="28"/>
          <w:szCs w:val="28"/>
        </w:rPr>
        <w:t>2. В</w:t>
      </w:r>
      <w:r w:rsidRPr="00885633">
        <w:rPr>
          <w:sz w:val="28"/>
          <w:szCs w:val="28"/>
        </w:rPr>
        <w:t xml:space="preserve"> нарушение пункта 173.1 Инструкции</w:t>
      </w:r>
      <w:r>
        <w:rPr>
          <w:sz w:val="28"/>
          <w:szCs w:val="28"/>
        </w:rPr>
        <w:t xml:space="preserve"> </w:t>
      </w:r>
      <w:r w:rsidRPr="00885633">
        <w:rPr>
          <w:sz w:val="28"/>
          <w:szCs w:val="28"/>
        </w:rPr>
        <w:t>№ 191н</w:t>
      </w:r>
      <w:r>
        <w:rPr>
          <w:sz w:val="28"/>
          <w:szCs w:val="28"/>
        </w:rPr>
        <w:t xml:space="preserve"> в ф. 0503190 не отображено движение по </w:t>
      </w:r>
      <w:r w:rsidRPr="004044D9">
        <w:rPr>
          <w:sz w:val="28"/>
          <w:szCs w:val="28"/>
        </w:rPr>
        <w:t>счет</w:t>
      </w:r>
      <w:r>
        <w:rPr>
          <w:sz w:val="28"/>
          <w:szCs w:val="28"/>
        </w:rPr>
        <w:t>у</w:t>
      </w:r>
      <w:r w:rsidRPr="004044D9">
        <w:rPr>
          <w:sz w:val="28"/>
          <w:szCs w:val="28"/>
        </w:rPr>
        <w:t xml:space="preserve"> </w:t>
      </w:r>
      <w:r w:rsidRPr="00CA25E9">
        <w:rPr>
          <w:sz w:val="28"/>
          <w:szCs w:val="28"/>
        </w:rPr>
        <w:t>аналитического учета </w:t>
      </w:r>
      <w:hyperlink r:id="rId8" w:anchor="/document/12180897/entry/10611000" w:history="1">
        <w:r w:rsidRPr="00CA25E9">
          <w:rPr>
            <w:rStyle w:val="afd"/>
            <w:color w:val="auto"/>
            <w:sz w:val="28"/>
            <w:szCs w:val="28"/>
            <w:u w:val="none"/>
          </w:rPr>
          <w:t>счета 110611000</w:t>
        </w:r>
      </w:hyperlink>
      <w:r w:rsidRPr="00CA25E9">
        <w:rPr>
          <w:sz w:val="28"/>
          <w:szCs w:val="28"/>
        </w:rPr>
        <w:t> «Вложения в основные средства - недвижимое имущество учреждения» в размере 402 362,21 руб.</w:t>
      </w:r>
    </w:p>
    <w:p w:rsidR="005419AF" w:rsidRPr="00CA25E9" w:rsidRDefault="005419AF" w:rsidP="00BB61A4">
      <w:pPr>
        <w:ind w:firstLine="708"/>
        <w:jc w:val="both"/>
        <w:rPr>
          <w:sz w:val="28"/>
          <w:szCs w:val="28"/>
        </w:rPr>
      </w:pPr>
      <w:r>
        <w:rPr>
          <w:color w:val="000000"/>
          <w:sz w:val="28"/>
          <w:szCs w:val="28"/>
        </w:rPr>
        <w:t>И</w:t>
      </w:r>
      <w:r w:rsidRPr="00923E63">
        <w:rPr>
          <w:color w:val="000000"/>
          <w:sz w:val="28"/>
          <w:szCs w:val="28"/>
        </w:rPr>
        <w:t xml:space="preserve">скажение показателей бюджетной отчетности </w:t>
      </w:r>
      <w:r>
        <w:rPr>
          <w:color w:val="000000"/>
          <w:sz w:val="28"/>
          <w:szCs w:val="28"/>
        </w:rPr>
        <w:t>в ф. 0503164</w:t>
      </w:r>
      <w:r w:rsidRPr="00923E63">
        <w:rPr>
          <w:color w:val="000000"/>
          <w:sz w:val="28"/>
          <w:szCs w:val="28"/>
        </w:rPr>
        <w:t>,</w:t>
      </w:r>
      <w:r>
        <w:rPr>
          <w:color w:val="000000"/>
          <w:sz w:val="28"/>
          <w:szCs w:val="28"/>
        </w:rPr>
        <w:t xml:space="preserve"> 0503190</w:t>
      </w:r>
      <w:r w:rsidRPr="00923E63">
        <w:rPr>
          <w:color w:val="000000"/>
          <w:sz w:val="28"/>
          <w:szCs w:val="28"/>
        </w:rPr>
        <w:t xml:space="preserve"> выраженных в денежном выражении, не привел</w:t>
      </w:r>
      <w:r>
        <w:rPr>
          <w:color w:val="000000"/>
          <w:sz w:val="28"/>
          <w:szCs w:val="28"/>
        </w:rPr>
        <w:t>и</w:t>
      </w:r>
      <w:r w:rsidRPr="00923E63">
        <w:rPr>
          <w:color w:val="000000"/>
          <w:sz w:val="28"/>
          <w:szCs w:val="28"/>
        </w:rPr>
        <w:t xml:space="preserve"> к искажению информации об активах и обязательствах </w:t>
      </w:r>
      <w:r w:rsidRPr="006F78AA">
        <w:rPr>
          <w:color w:val="000000"/>
          <w:sz w:val="28"/>
          <w:szCs w:val="28"/>
        </w:rPr>
        <w:t xml:space="preserve">в Балансе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r>
        <w:rPr>
          <w:color w:val="000000"/>
          <w:sz w:val="28"/>
          <w:szCs w:val="28"/>
        </w:rPr>
        <w:t>(ф. 0503130)</w:t>
      </w:r>
      <w:r w:rsidRPr="00923E63">
        <w:rPr>
          <w:color w:val="000000"/>
          <w:sz w:val="28"/>
          <w:szCs w:val="28"/>
        </w:rPr>
        <w:t xml:space="preserve">, </w:t>
      </w:r>
      <w:r>
        <w:rPr>
          <w:color w:val="000000"/>
          <w:sz w:val="28"/>
          <w:szCs w:val="28"/>
        </w:rPr>
        <w:t xml:space="preserve">в связи с чем </w:t>
      </w:r>
      <w:r w:rsidRPr="00923E63">
        <w:rPr>
          <w:color w:val="000000"/>
          <w:sz w:val="28"/>
          <w:szCs w:val="28"/>
        </w:rPr>
        <w:t xml:space="preserve">в действиях </w:t>
      </w:r>
      <w:r>
        <w:rPr>
          <w:color w:val="000000"/>
          <w:sz w:val="28"/>
          <w:szCs w:val="28"/>
        </w:rPr>
        <w:t>главного бухгалтера</w:t>
      </w:r>
      <w:r w:rsidRPr="00923E63">
        <w:rPr>
          <w:color w:val="000000"/>
          <w:sz w:val="28"/>
          <w:szCs w:val="28"/>
        </w:rPr>
        <w:t xml:space="preserve"> </w:t>
      </w:r>
      <w:r w:rsidRPr="00923E63">
        <w:rPr>
          <w:b/>
          <w:color w:val="000000"/>
          <w:sz w:val="28"/>
          <w:szCs w:val="28"/>
        </w:rPr>
        <w:t>отсутствует</w:t>
      </w:r>
      <w:r w:rsidRPr="00923E63">
        <w:rPr>
          <w:color w:val="000000"/>
          <w:sz w:val="28"/>
          <w:szCs w:val="28"/>
        </w:rPr>
        <w:t xml:space="preserve"> состав административного правонарушения, предусмотренного стат</w:t>
      </w:r>
      <w:r>
        <w:rPr>
          <w:color w:val="000000"/>
          <w:sz w:val="28"/>
          <w:szCs w:val="28"/>
        </w:rPr>
        <w:t xml:space="preserve">ьей </w:t>
      </w:r>
      <w:r w:rsidRPr="00923E63">
        <w:rPr>
          <w:color w:val="000000"/>
          <w:sz w:val="28"/>
          <w:szCs w:val="28"/>
        </w:rPr>
        <w:t>15.15.6 КоАП РФ.</w:t>
      </w:r>
    </w:p>
    <w:p w:rsidR="00BB61A4" w:rsidRPr="009200B2" w:rsidRDefault="00BB61A4" w:rsidP="00BB61A4">
      <w:pPr>
        <w:ind w:firstLine="709"/>
        <w:jc w:val="both"/>
        <w:rPr>
          <w:sz w:val="28"/>
          <w:szCs w:val="28"/>
        </w:rPr>
      </w:pPr>
      <w:r>
        <w:rPr>
          <w:color w:val="000000"/>
          <w:sz w:val="28"/>
          <w:szCs w:val="28"/>
        </w:rPr>
        <w:t xml:space="preserve">По результатам проверки достоверности, полноты и соответствия </w:t>
      </w:r>
      <w:r w:rsidRPr="00E87FFC">
        <w:rPr>
          <w:sz w:val="28"/>
          <w:szCs w:val="28"/>
        </w:rPr>
        <w:t>годовой бюджетной отчетности главных администраторов средств местного бюджета</w:t>
      </w:r>
      <w:r>
        <w:rPr>
          <w:color w:val="000000"/>
          <w:sz w:val="28"/>
          <w:szCs w:val="28"/>
        </w:rPr>
        <w:t xml:space="preserve"> нормам и требованиям бюджетного законодательства и </w:t>
      </w:r>
      <w:r w:rsidRPr="000C73D3">
        <w:rPr>
          <w:sz w:val="28"/>
          <w:szCs w:val="28"/>
        </w:rPr>
        <w:t>ины</w:t>
      </w:r>
      <w:r>
        <w:rPr>
          <w:sz w:val="28"/>
          <w:szCs w:val="28"/>
        </w:rPr>
        <w:t>х</w:t>
      </w:r>
      <w:r w:rsidRPr="000C73D3">
        <w:rPr>
          <w:sz w:val="28"/>
          <w:szCs w:val="28"/>
        </w:rPr>
        <w:t xml:space="preserve"> нормативны</w:t>
      </w:r>
      <w:r>
        <w:rPr>
          <w:sz w:val="28"/>
          <w:szCs w:val="28"/>
        </w:rPr>
        <w:t xml:space="preserve">х </w:t>
      </w:r>
      <w:r w:rsidRPr="000C73D3">
        <w:rPr>
          <w:sz w:val="28"/>
          <w:szCs w:val="28"/>
        </w:rPr>
        <w:t>правовы</w:t>
      </w:r>
      <w:r>
        <w:rPr>
          <w:sz w:val="28"/>
          <w:szCs w:val="28"/>
        </w:rPr>
        <w:t>х</w:t>
      </w:r>
      <w:r w:rsidRPr="000C73D3">
        <w:rPr>
          <w:sz w:val="28"/>
          <w:szCs w:val="28"/>
        </w:rPr>
        <w:t xml:space="preserve"> акт</w:t>
      </w:r>
      <w:r>
        <w:rPr>
          <w:sz w:val="28"/>
          <w:szCs w:val="28"/>
        </w:rPr>
        <w:t>ов</w:t>
      </w:r>
      <w:r w:rsidRPr="000C73D3">
        <w:rPr>
          <w:sz w:val="28"/>
          <w:szCs w:val="28"/>
        </w:rPr>
        <w:t xml:space="preserve"> Российской Федерации</w:t>
      </w:r>
      <w:r>
        <w:rPr>
          <w:sz w:val="28"/>
          <w:szCs w:val="28"/>
        </w:rPr>
        <w:t>, установлены следующие нарушения и недостатки:</w:t>
      </w:r>
    </w:p>
    <w:p w:rsidR="009A30E0" w:rsidRPr="009A30E0" w:rsidRDefault="00BB61A4" w:rsidP="00BB61A4">
      <w:pPr>
        <w:widowControl w:val="0"/>
        <w:suppressAutoHyphens/>
        <w:ind w:firstLine="709"/>
        <w:jc w:val="both"/>
        <w:rPr>
          <w:sz w:val="28"/>
          <w:szCs w:val="28"/>
        </w:rPr>
      </w:pPr>
      <w:r w:rsidRPr="009A30E0">
        <w:rPr>
          <w:bCs/>
          <w:sz w:val="28"/>
          <w:szCs w:val="28"/>
        </w:rPr>
        <w:t xml:space="preserve">1. </w:t>
      </w:r>
      <w:r w:rsidR="009A30E0" w:rsidRPr="009A30E0">
        <w:rPr>
          <w:bCs/>
          <w:sz w:val="28"/>
          <w:szCs w:val="28"/>
        </w:rPr>
        <w:t>П</w:t>
      </w:r>
      <w:r w:rsidR="009A30E0" w:rsidRPr="009A30E0">
        <w:rPr>
          <w:sz w:val="28"/>
          <w:szCs w:val="28"/>
        </w:rPr>
        <w:t>унктом 3 Приказа Минэкономразвития России от 30 августа 2011 г.</w:t>
      </w:r>
      <w:r w:rsidR="009A30E0">
        <w:rPr>
          <w:sz w:val="28"/>
          <w:szCs w:val="28"/>
        </w:rPr>
        <w:t xml:space="preserve"> </w:t>
      </w:r>
      <w:r w:rsidR="009A30E0" w:rsidRPr="009A30E0">
        <w:rPr>
          <w:sz w:val="28"/>
          <w:szCs w:val="28"/>
        </w:rPr>
        <w:t xml:space="preserve"> № 424 «Об утверждении Порядка ведения органами местного самоуправления реестров муниципального имущества», ведение реестров осуществляется уполномоченными органами местного самоуправления соответствующих муниципальных образований. Орган местного самоуправления, уполномоченный вести реестр, обязан: обеспечивать соблюдение правил ведения реестра и требований, предъявляемых к системе ведения реестра; обеспечивать соблюдение прав доступа к реестру и защите государственной и коммерческой тайны; осуществлять информационно-справочное обслуживание, выдавать выписки из реестров.</w:t>
      </w:r>
    </w:p>
    <w:p w:rsidR="009A30E0" w:rsidRPr="009A30E0" w:rsidRDefault="009A30E0" w:rsidP="00BB61A4">
      <w:pPr>
        <w:widowControl w:val="0"/>
        <w:suppressAutoHyphens/>
        <w:ind w:firstLine="709"/>
        <w:jc w:val="both"/>
        <w:rPr>
          <w:sz w:val="28"/>
          <w:szCs w:val="28"/>
        </w:rPr>
      </w:pPr>
      <w:r w:rsidRPr="009A30E0">
        <w:rPr>
          <w:sz w:val="28"/>
          <w:szCs w:val="28"/>
        </w:rPr>
        <w:t xml:space="preserve">Пунктом 2.1 раздела 2 Положения о порядке управления и распоряжения имуществом, находящимся в муниципальной собственности сельского </w:t>
      </w:r>
      <w:r w:rsidRPr="009A30E0">
        <w:rPr>
          <w:sz w:val="28"/>
          <w:szCs w:val="28"/>
        </w:rPr>
        <w:lastRenderedPageBreak/>
        <w:t>поселения Кубанец Тимашевского района, утвержденного решением Совета сельского поселения Кубанец Тимашевского района от 17 апреля 2019 г. № 212 (далее – порядок управления и распоряжения имуществом № 212), ведение реестра муниципального имущества возложено на администрацию сельского поселения Кубанец.</w:t>
      </w:r>
    </w:p>
    <w:p w:rsidR="00BB61A4" w:rsidRDefault="00BB61A4" w:rsidP="00BB61A4">
      <w:pPr>
        <w:widowControl w:val="0"/>
        <w:suppressAutoHyphens/>
        <w:ind w:firstLine="709"/>
        <w:jc w:val="both"/>
        <w:rPr>
          <w:sz w:val="28"/>
          <w:szCs w:val="28"/>
        </w:rPr>
      </w:pPr>
      <w:r>
        <w:rPr>
          <w:bCs/>
          <w:sz w:val="28"/>
          <w:szCs w:val="28"/>
        </w:rPr>
        <w:t xml:space="preserve">В нарушение </w:t>
      </w:r>
      <w:r w:rsidRPr="0021192A">
        <w:rPr>
          <w:sz w:val="28"/>
          <w:szCs w:val="28"/>
        </w:rPr>
        <w:t>п</w:t>
      </w:r>
      <w:r>
        <w:rPr>
          <w:sz w:val="28"/>
          <w:szCs w:val="28"/>
        </w:rPr>
        <w:t xml:space="preserve">ункта </w:t>
      </w:r>
      <w:r w:rsidRPr="0021192A">
        <w:rPr>
          <w:sz w:val="28"/>
          <w:szCs w:val="28"/>
        </w:rPr>
        <w:t xml:space="preserve">3 Приказ Минэкономразвития России </w:t>
      </w:r>
      <w:r>
        <w:rPr>
          <w:sz w:val="28"/>
          <w:szCs w:val="28"/>
        </w:rPr>
        <w:t xml:space="preserve">                      </w:t>
      </w:r>
      <w:r w:rsidRPr="0021192A">
        <w:rPr>
          <w:sz w:val="28"/>
          <w:szCs w:val="28"/>
        </w:rPr>
        <w:t>от 30.08.2011 № 424 «Об утверждении Порядка ведения органами местного самоуправления реестров муниципального имущества»</w:t>
      </w:r>
      <w:r w:rsidRPr="000F1004">
        <w:rPr>
          <w:sz w:val="28"/>
          <w:szCs w:val="28"/>
        </w:rPr>
        <w:t xml:space="preserve"> установлены факты, нарушающие порядок ведения реестра муниципального имущества на общую сумму 28 271 244,53 руб</w:t>
      </w:r>
      <w:r>
        <w:rPr>
          <w:sz w:val="28"/>
          <w:szCs w:val="28"/>
        </w:rPr>
        <w:t>.</w:t>
      </w:r>
    </w:p>
    <w:p w:rsidR="009A30E0" w:rsidRPr="000F1004" w:rsidRDefault="009A30E0" w:rsidP="00BB61A4">
      <w:pPr>
        <w:widowControl w:val="0"/>
        <w:suppressAutoHyphens/>
        <w:ind w:firstLine="709"/>
        <w:jc w:val="both"/>
        <w:rPr>
          <w:bCs/>
          <w:sz w:val="28"/>
          <w:szCs w:val="28"/>
        </w:rPr>
      </w:pPr>
      <w:r>
        <w:rPr>
          <w:sz w:val="28"/>
          <w:szCs w:val="28"/>
        </w:rPr>
        <w:t>Данные</w:t>
      </w:r>
      <w:r w:rsidRPr="00C06CCC">
        <w:rPr>
          <w:sz w:val="28"/>
          <w:szCs w:val="28"/>
        </w:rPr>
        <w:t xml:space="preserve"> нарушения не повлияли на достоверность бюдж</w:t>
      </w:r>
      <w:r>
        <w:rPr>
          <w:sz w:val="28"/>
          <w:szCs w:val="28"/>
        </w:rPr>
        <w:t>етной отчетности.</w:t>
      </w:r>
    </w:p>
    <w:p w:rsidR="00824A9B" w:rsidRPr="006F78AA" w:rsidRDefault="00BB61A4" w:rsidP="00824A9B">
      <w:pPr>
        <w:widowControl w:val="0"/>
        <w:suppressAutoHyphens/>
        <w:ind w:firstLine="709"/>
        <w:jc w:val="both"/>
        <w:rPr>
          <w:color w:val="000000"/>
          <w:sz w:val="28"/>
          <w:szCs w:val="28"/>
        </w:rPr>
      </w:pPr>
      <w:r>
        <w:rPr>
          <w:bCs/>
          <w:sz w:val="28"/>
          <w:szCs w:val="28"/>
        </w:rPr>
        <w:t xml:space="preserve">2. </w:t>
      </w:r>
      <w:r w:rsidR="00824A9B" w:rsidRPr="000778BC">
        <w:rPr>
          <w:color w:val="000000"/>
          <w:sz w:val="28"/>
          <w:szCs w:val="28"/>
        </w:rPr>
        <w:t>Несоблюдение главным бухгалтером требований</w:t>
      </w:r>
      <w:r w:rsidR="00824A9B" w:rsidRPr="000778BC">
        <w:rPr>
          <w:sz w:val="28"/>
          <w:szCs w:val="28"/>
          <w:shd w:val="clear" w:color="auto" w:fill="FFFFFF"/>
        </w:rPr>
        <w:t xml:space="preserve"> пункта 7 Инструкции № 191н,</w:t>
      </w:r>
      <w:r w:rsidR="00824A9B" w:rsidRPr="00B84564">
        <w:rPr>
          <w:sz w:val="28"/>
          <w:szCs w:val="28"/>
          <w:shd w:val="clear" w:color="auto" w:fill="FFFFFF"/>
        </w:rPr>
        <w:t xml:space="preserve"> </w:t>
      </w:r>
      <w:r w:rsidR="00824A9B">
        <w:rPr>
          <w:sz w:val="28"/>
          <w:szCs w:val="28"/>
          <w:shd w:val="clear" w:color="auto" w:fill="FFFFFF"/>
        </w:rPr>
        <w:t>о</w:t>
      </w:r>
      <w:r w:rsidR="00824A9B" w:rsidRPr="00B84564">
        <w:rPr>
          <w:sz w:val="28"/>
          <w:szCs w:val="28"/>
          <w:shd w:val="clear" w:color="auto" w:fill="FFFFFF"/>
        </w:rPr>
        <w:t xml:space="preserve"> проведен</w:t>
      </w:r>
      <w:r w:rsidR="00824A9B">
        <w:rPr>
          <w:sz w:val="28"/>
          <w:szCs w:val="28"/>
          <w:shd w:val="clear" w:color="auto" w:fill="FFFFFF"/>
        </w:rPr>
        <w:t>ии</w:t>
      </w:r>
      <w:r w:rsidR="00824A9B" w:rsidRPr="00B84564">
        <w:rPr>
          <w:sz w:val="28"/>
          <w:szCs w:val="28"/>
          <w:shd w:val="clear" w:color="auto" w:fill="FFFFFF"/>
        </w:rPr>
        <w:t xml:space="preserve"> инвентаризация активов и обязательств перед составлением годовой бюджетной отчетности</w:t>
      </w:r>
      <w:r w:rsidR="00824A9B">
        <w:rPr>
          <w:sz w:val="28"/>
          <w:szCs w:val="28"/>
          <w:shd w:val="clear" w:color="auto" w:fill="FFFFFF"/>
        </w:rPr>
        <w:t>,</w:t>
      </w:r>
      <w:r w:rsidR="00824A9B" w:rsidRPr="00B84564">
        <w:rPr>
          <w:sz w:val="28"/>
          <w:szCs w:val="28"/>
          <w:shd w:val="clear" w:color="auto" w:fill="FFFFFF"/>
        </w:rPr>
        <w:t xml:space="preserve"> в порядке</w:t>
      </w:r>
      <w:r w:rsidR="00824A9B">
        <w:rPr>
          <w:sz w:val="28"/>
          <w:szCs w:val="28"/>
          <w:shd w:val="clear" w:color="auto" w:fill="FFFFFF"/>
        </w:rPr>
        <w:t>,</w:t>
      </w:r>
      <w:r w:rsidR="00824A9B" w:rsidRPr="00B84564">
        <w:rPr>
          <w:sz w:val="28"/>
          <w:szCs w:val="28"/>
          <w:shd w:val="clear" w:color="auto" w:fill="FFFFFF"/>
        </w:rPr>
        <w:t xml:space="preserve"> установленном экономическим субъектом</w:t>
      </w:r>
      <w:r w:rsidR="00824A9B">
        <w:rPr>
          <w:sz w:val="28"/>
          <w:szCs w:val="28"/>
          <w:shd w:val="clear" w:color="auto" w:fill="FFFFFF"/>
        </w:rPr>
        <w:t>,</w:t>
      </w:r>
      <w:r w:rsidR="00824A9B" w:rsidRPr="006F78AA">
        <w:rPr>
          <w:color w:val="000000"/>
          <w:sz w:val="28"/>
          <w:szCs w:val="28"/>
        </w:rPr>
        <w:t xml:space="preserve"> </w:t>
      </w:r>
      <w:r w:rsidR="00824A9B">
        <w:rPr>
          <w:color w:val="000000"/>
          <w:sz w:val="28"/>
          <w:szCs w:val="28"/>
        </w:rPr>
        <w:t xml:space="preserve">а также </w:t>
      </w:r>
      <w:r w:rsidR="00824A9B" w:rsidRPr="006F78AA">
        <w:rPr>
          <w:color w:val="000000"/>
          <w:sz w:val="28"/>
          <w:szCs w:val="28"/>
        </w:rPr>
        <w:t>требований единой методологии бюджетного учета и бюджетной отчетности привело к отражению в бюджетном учете и бюджетной отчетности объекта контроля</w:t>
      </w:r>
      <w:r w:rsidR="00824A9B">
        <w:rPr>
          <w:color w:val="000000"/>
          <w:sz w:val="28"/>
          <w:szCs w:val="28"/>
        </w:rPr>
        <w:t xml:space="preserve"> по состоянию                              на 1 января </w:t>
      </w:r>
      <w:r w:rsidR="00824A9B" w:rsidRPr="006F78AA">
        <w:rPr>
          <w:color w:val="000000"/>
          <w:sz w:val="28"/>
          <w:szCs w:val="28"/>
        </w:rPr>
        <w:t>2021</w:t>
      </w:r>
      <w:r w:rsidR="00824A9B">
        <w:rPr>
          <w:color w:val="000000"/>
          <w:sz w:val="28"/>
          <w:szCs w:val="28"/>
        </w:rPr>
        <w:t xml:space="preserve"> г. и 31 декабря 2021 г. </w:t>
      </w:r>
      <w:r w:rsidR="00824A9B" w:rsidRPr="006F78AA">
        <w:rPr>
          <w:color w:val="000000"/>
          <w:sz w:val="28"/>
          <w:szCs w:val="28"/>
        </w:rPr>
        <w:t>недостов</w:t>
      </w:r>
      <w:r w:rsidR="00824A9B">
        <w:rPr>
          <w:color w:val="000000"/>
          <w:sz w:val="28"/>
          <w:szCs w:val="28"/>
        </w:rPr>
        <w:t xml:space="preserve">ерной (искаженной) информации о </w:t>
      </w:r>
      <w:r w:rsidR="00824A9B" w:rsidRPr="006F78AA">
        <w:rPr>
          <w:color w:val="000000"/>
          <w:sz w:val="28"/>
          <w:szCs w:val="28"/>
        </w:rPr>
        <w:t>кадастровой стоимости НПА</w:t>
      </w:r>
      <w:r w:rsidR="00824A9B">
        <w:rPr>
          <w:color w:val="000000"/>
          <w:sz w:val="28"/>
          <w:szCs w:val="28"/>
        </w:rPr>
        <w:t xml:space="preserve"> (земельных участков) принадлежащих на праве собственности сельскому поселению Кубанец Тимашевского района и на праве бессрочного пользования администрации сельскому поселению Кубанец Тимашевского района, о чем сделаны соответствующие записи в Едином государственном реестре недвижимости</w:t>
      </w:r>
      <w:r w:rsidR="00824A9B" w:rsidRPr="006F78AA">
        <w:rPr>
          <w:color w:val="000000"/>
          <w:sz w:val="28"/>
          <w:szCs w:val="28"/>
        </w:rPr>
        <w:t>:</w:t>
      </w:r>
    </w:p>
    <w:p w:rsidR="00824A9B" w:rsidRPr="003D6613" w:rsidRDefault="00824A9B" w:rsidP="00824A9B">
      <w:pPr>
        <w:widowControl w:val="0"/>
        <w:suppressAutoHyphens/>
        <w:ind w:firstLine="709"/>
        <w:jc w:val="both"/>
        <w:rPr>
          <w:sz w:val="28"/>
          <w:szCs w:val="28"/>
        </w:rPr>
      </w:pPr>
      <w:r w:rsidRPr="006F78AA">
        <w:rPr>
          <w:color w:val="000000"/>
          <w:sz w:val="28"/>
          <w:szCs w:val="28"/>
        </w:rPr>
        <w:t>на счете бюджетного учета 103 11 «</w:t>
      </w:r>
      <w:r w:rsidRPr="00194A79">
        <w:rPr>
          <w:sz w:val="28"/>
          <w:szCs w:val="28"/>
          <w:shd w:val="clear" w:color="auto" w:fill="FFFFFF"/>
        </w:rPr>
        <w:t>Земля — недвижимое имущество учреждения</w:t>
      </w:r>
      <w:r w:rsidRPr="006F78AA">
        <w:rPr>
          <w:color w:val="000000"/>
          <w:sz w:val="28"/>
          <w:szCs w:val="28"/>
        </w:rPr>
        <w:t xml:space="preserve">» –  </w:t>
      </w:r>
      <w:r>
        <w:rPr>
          <w:color w:val="000000"/>
          <w:sz w:val="28"/>
          <w:szCs w:val="28"/>
        </w:rPr>
        <w:t>завышение</w:t>
      </w:r>
      <w:r w:rsidRPr="006F78AA">
        <w:rPr>
          <w:color w:val="000000"/>
          <w:sz w:val="28"/>
          <w:szCs w:val="28"/>
        </w:rPr>
        <w:t xml:space="preserve"> кадастровой стоимости земельных участков составило </w:t>
      </w:r>
      <w:r w:rsidRPr="003D6613">
        <w:rPr>
          <w:sz w:val="28"/>
          <w:szCs w:val="28"/>
        </w:rPr>
        <w:t>2 455 665,90 руб.;</w:t>
      </w:r>
    </w:p>
    <w:p w:rsidR="00824A9B" w:rsidRDefault="00824A9B" w:rsidP="00824A9B">
      <w:pPr>
        <w:widowControl w:val="0"/>
        <w:suppressAutoHyphens/>
        <w:ind w:firstLine="709"/>
        <w:jc w:val="both"/>
        <w:rPr>
          <w:color w:val="FF0000"/>
          <w:sz w:val="28"/>
          <w:szCs w:val="28"/>
        </w:rPr>
      </w:pPr>
      <w:r w:rsidRPr="006F78AA">
        <w:rPr>
          <w:color w:val="000000"/>
          <w:sz w:val="28"/>
          <w:szCs w:val="28"/>
        </w:rPr>
        <w:t xml:space="preserve">на счете бюджетного учета 108 55 «Непроизведенные активы, составляющие казну» – занижение кадастровой стоимости земельных участков </w:t>
      </w:r>
      <w:r w:rsidRPr="00D50362">
        <w:rPr>
          <w:color w:val="000000"/>
          <w:sz w:val="28"/>
          <w:szCs w:val="28"/>
        </w:rPr>
        <w:t xml:space="preserve">составило </w:t>
      </w:r>
      <w:r w:rsidRPr="00D051B3">
        <w:rPr>
          <w:sz w:val="28"/>
          <w:szCs w:val="28"/>
        </w:rPr>
        <w:t>7 </w:t>
      </w:r>
      <w:r>
        <w:rPr>
          <w:sz w:val="28"/>
          <w:szCs w:val="28"/>
        </w:rPr>
        <w:t>860</w:t>
      </w:r>
      <w:r w:rsidRPr="00D051B3">
        <w:rPr>
          <w:sz w:val="28"/>
          <w:szCs w:val="28"/>
        </w:rPr>
        <w:t> </w:t>
      </w:r>
      <w:r>
        <w:rPr>
          <w:sz w:val="28"/>
          <w:szCs w:val="28"/>
        </w:rPr>
        <w:t>511</w:t>
      </w:r>
      <w:r w:rsidRPr="00D051B3">
        <w:rPr>
          <w:sz w:val="28"/>
          <w:szCs w:val="28"/>
        </w:rPr>
        <w:t>,</w:t>
      </w:r>
      <w:r>
        <w:rPr>
          <w:sz w:val="28"/>
          <w:szCs w:val="28"/>
        </w:rPr>
        <w:t>51 руб.</w:t>
      </w:r>
    </w:p>
    <w:p w:rsidR="00824A9B" w:rsidRDefault="00824A9B" w:rsidP="00824A9B">
      <w:pPr>
        <w:widowControl w:val="0"/>
        <w:suppressAutoHyphens/>
        <w:ind w:firstLine="709"/>
        <w:jc w:val="both"/>
        <w:rPr>
          <w:sz w:val="28"/>
          <w:szCs w:val="28"/>
        </w:rPr>
      </w:pPr>
      <w:r>
        <w:rPr>
          <w:sz w:val="28"/>
          <w:szCs w:val="28"/>
        </w:rPr>
        <w:t>В</w:t>
      </w:r>
      <w:r w:rsidRPr="00531DBD">
        <w:rPr>
          <w:sz w:val="28"/>
          <w:szCs w:val="28"/>
        </w:rPr>
        <w:t xml:space="preserve">следствие чего, допущено искажение показателей </w:t>
      </w:r>
      <w:r>
        <w:rPr>
          <w:sz w:val="28"/>
          <w:szCs w:val="28"/>
        </w:rPr>
        <w:t xml:space="preserve">раздела </w:t>
      </w:r>
      <w:r>
        <w:rPr>
          <w:sz w:val="28"/>
          <w:szCs w:val="28"/>
          <w:lang w:val="en-US"/>
        </w:rPr>
        <w:t>I</w:t>
      </w:r>
      <w:r w:rsidRPr="00531DBD">
        <w:rPr>
          <w:sz w:val="28"/>
          <w:szCs w:val="28"/>
        </w:rPr>
        <w:t xml:space="preserve"> </w:t>
      </w:r>
      <w:r>
        <w:rPr>
          <w:sz w:val="28"/>
          <w:szCs w:val="28"/>
        </w:rPr>
        <w:t>баланса ф. 0503130:</w:t>
      </w:r>
    </w:p>
    <w:p w:rsidR="00824A9B" w:rsidRDefault="00824A9B" w:rsidP="00824A9B">
      <w:pPr>
        <w:widowControl w:val="0"/>
        <w:suppressAutoHyphens/>
        <w:ind w:firstLine="709"/>
        <w:jc w:val="both"/>
        <w:rPr>
          <w:sz w:val="28"/>
          <w:szCs w:val="28"/>
        </w:rPr>
      </w:pPr>
      <w:r>
        <w:rPr>
          <w:sz w:val="28"/>
          <w:szCs w:val="28"/>
        </w:rPr>
        <w:t>1. по строке 070 «Непроизведенные активы» на начало года и на конец отчетного периода на 2 455 665,90 руб. или 99,99 %;</w:t>
      </w:r>
    </w:p>
    <w:p w:rsidR="00824A9B" w:rsidRDefault="00824A9B" w:rsidP="00824A9B">
      <w:pPr>
        <w:widowControl w:val="0"/>
        <w:suppressAutoHyphens/>
        <w:ind w:firstLine="709"/>
        <w:jc w:val="both"/>
        <w:rPr>
          <w:sz w:val="28"/>
          <w:szCs w:val="28"/>
        </w:rPr>
      </w:pPr>
      <w:r>
        <w:rPr>
          <w:sz w:val="28"/>
          <w:szCs w:val="28"/>
        </w:rPr>
        <w:t>2. по строке 140 «Нефинансовые активы имущества казны» на начало года на 7 860 511,51 или 25,93 %;</w:t>
      </w:r>
    </w:p>
    <w:p w:rsidR="00824A9B" w:rsidRDefault="00824A9B" w:rsidP="00824A9B">
      <w:pPr>
        <w:widowControl w:val="0"/>
        <w:suppressAutoHyphens/>
        <w:ind w:firstLine="709"/>
        <w:jc w:val="both"/>
        <w:rPr>
          <w:bCs/>
          <w:sz w:val="28"/>
          <w:szCs w:val="28"/>
        </w:rPr>
      </w:pPr>
      <w:r>
        <w:rPr>
          <w:sz w:val="28"/>
          <w:szCs w:val="28"/>
        </w:rPr>
        <w:t>3. по строке 140 «Нефинансовые активы имущества казны» на конец отчетного периода на 7 860 511,51 или 25,59 %.</w:t>
      </w:r>
    </w:p>
    <w:p w:rsidR="00BB02BA" w:rsidRPr="00E12485" w:rsidRDefault="00BB02BA" w:rsidP="00BB02BA">
      <w:pPr>
        <w:widowControl w:val="0"/>
        <w:tabs>
          <w:tab w:val="left" w:pos="720"/>
        </w:tabs>
        <w:ind w:right="-6" w:firstLine="720"/>
        <w:jc w:val="both"/>
        <w:rPr>
          <w:color w:val="000000"/>
          <w:sz w:val="28"/>
          <w:szCs w:val="28"/>
        </w:rPr>
      </w:pPr>
      <w:r>
        <w:rPr>
          <w:sz w:val="28"/>
          <w:szCs w:val="28"/>
        </w:rPr>
        <w:t xml:space="preserve">3. </w:t>
      </w:r>
      <w:r w:rsidRPr="00E12485">
        <w:rPr>
          <w:sz w:val="28"/>
          <w:szCs w:val="28"/>
        </w:rPr>
        <w:t>В нарушение части 2 статьи 10, части 1 статьи 13 Федерального</w:t>
      </w:r>
      <w:r w:rsidRPr="00E12485">
        <w:rPr>
          <w:color w:val="000000"/>
          <w:sz w:val="28"/>
          <w:szCs w:val="28"/>
        </w:rPr>
        <w:t xml:space="preserve"> закона    № 402-ФЗ, </w:t>
      </w:r>
      <w:r w:rsidRPr="00E12485">
        <w:rPr>
          <w:iCs/>
          <w:color w:val="000000"/>
          <w:sz w:val="28"/>
          <w:szCs w:val="28"/>
        </w:rPr>
        <w:t>абзаца 2 пункта 127, пункта 130 Инструкции № 157н,</w:t>
      </w:r>
      <w:r w:rsidRPr="00E12485">
        <w:rPr>
          <w:iCs/>
          <w:color w:val="FF0000"/>
          <w:sz w:val="28"/>
          <w:szCs w:val="28"/>
        </w:rPr>
        <w:t xml:space="preserve"> </w:t>
      </w:r>
      <w:r w:rsidRPr="00E12485">
        <w:rPr>
          <w:iCs/>
          <w:color w:val="000000"/>
          <w:sz w:val="28"/>
          <w:szCs w:val="28"/>
        </w:rPr>
        <w:t xml:space="preserve">пункта 30 Инструкции № 162н, </w:t>
      </w:r>
      <w:hyperlink r:id="rId9" w:anchor="/document/12181732/entry/1167" w:history="1">
        <w:r w:rsidRPr="00E12485">
          <w:rPr>
            <w:rStyle w:val="afd"/>
            <w:color w:val="000000"/>
            <w:sz w:val="28"/>
            <w:szCs w:val="28"/>
          </w:rPr>
          <w:t>пункта 167</w:t>
        </w:r>
      </w:hyperlink>
      <w:r w:rsidRPr="00E12485">
        <w:rPr>
          <w:color w:val="000000"/>
          <w:sz w:val="28"/>
          <w:szCs w:val="28"/>
        </w:rPr>
        <w:t> Инструкции № 191н</w:t>
      </w:r>
      <w:r w:rsidRPr="00E12485">
        <w:rPr>
          <w:iCs/>
          <w:color w:val="000000"/>
          <w:sz w:val="28"/>
          <w:szCs w:val="28"/>
        </w:rPr>
        <w:t>,</w:t>
      </w:r>
      <w:r w:rsidRPr="00E12485">
        <w:rPr>
          <w:sz w:val="28"/>
          <w:szCs w:val="28"/>
        </w:rPr>
        <w:t xml:space="preserve"> </w:t>
      </w:r>
      <w:r w:rsidRPr="00E12485">
        <w:rPr>
          <w:color w:val="000000"/>
          <w:sz w:val="28"/>
          <w:szCs w:val="28"/>
        </w:rPr>
        <w:t>главный бухгалтер допустила отражение недостоверных сведений о долгосрочной и просроченной дебиторской задолженности по доходам от операционной аренды имущества (счет 205.21) в ф. 0503169:</w:t>
      </w:r>
    </w:p>
    <w:p w:rsidR="00BB02BA" w:rsidRPr="00EB4618" w:rsidRDefault="00BB02BA" w:rsidP="00BB02BA">
      <w:pPr>
        <w:widowControl w:val="0"/>
        <w:tabs>
          <w:tab w:val="left" w:pos="720"/>
        </w:tabs>
        <w:ind w:right="-6"/>
        <w:jc w:val="both"/>
        <w:rPr>
          <w:color w:val="000000"/>
          <w:sz w:val="28"/>
          <w:szCs w:val="28"/>
        </w:rPr>
      </w:pPr>
      <w:r w:rsidRPr="00EB4618">
        <w:rPr>
          <w:color w:val="000000"/>
          <w:sz w:val="28"/>
          <w:szCs w:val="28"/>
        </w:rPr>
        <w:t>1. в графе 2 (дебиторская задолженность  на 01.01.202</w:t>
      </w:r>
      <w:r>
        <w:rPr>
          <w:color w:val="000000"/>
          <w:sz w:val="28"/>
          <w:szCs w:val="28"/>
        </w:rPr>
        <w:t>1</w:t>
      </w:r>
      <w:r w:rsidRPr="00EB4618">
        <w:rPr>
          <w:color w:val="000000"/>
          <w:sz w:val="28"/>
          <w:szCs w:val="28"/>
        </w:rPr>
        <w:t xml:space="preserve">, всего) на 30 000,30 руб. </w:t>
      </w:r>
    </w:p>
    <w:p w:rsidR="00BB02BA" w:rsidRPr="00EB4618" w:rsidRDefault="00BB02BA" w:rsidP="00BB02BA">
      <w:pPr>
        <w:widowControl w:val="0"/>
        <w:tabs>
          <w:tab w:val="left" w:pos="720"/>
        </w:tabs>
        <w:ind w:right="-6"/>
        <w:jc w:val="both"/>
        <w:rPr>
          <w:color w:val="000000"/>
          <w:sz w:val="28"/>
          <w:szCs w:val="28"/>
        </w:rPr>
      </w:pPr>
      <w:r w:rsidRPr="00EB4618">
        <w:rPr>
          <w:color w:val="000000"/>
          <w:sz w:val="28"/>
          <w:szCs w:val="28"/>
        </w:rPr>
        <w:t xml:space="preserve">2 595 000,00 (общая сумма дебиторской задолженности на 01.01.2021, согласно </w:t>
      </w:r>
      <w:r w:rsidRPr="00EB4618">
        <w:rPr>
          <w:color w:val="000000"/>
          <w:sz w:val="28"/>
          <w:szCs w:val="28"/>
        </w:rPr>
        <w:lastRenderedPageBreak/>
        <w:t>договора аренды и акта сверки взаимных расчетов) – 2 564 999,70 = 30 000,30;</w:t>
      </w:r>
    </w:p>
    <w:p w:rsidR="00BB02BA" w:rsidRPr="00EB4618" w:rsidRDefault="00BB02BA" w:rsidP="00BB02BA">
      <w:pPr>
        <w:widowControl w:val="0"/>
        <w:tabs>
          <w:tab w:val="left" w:pos="720"/>
        </w:tabs>
        <w:ind w:right="-6"/>
        <w:jc w:val="both"/>
        <w:rPr>
          <w:color w:val="000000"/>
          <w:sz w:val="28"/>
          <w:szCs w:val="28"/>
        </w:rPr>
      </w:pPr>
      <w:r w:rsidRPr="00EB4618">
        <w:rPr>
          <w:color w:val="000000"/>
          <w:sz w:val="28"/>
          <w:szCs w:val="28"/>
        </w:rPr>
        <w:t xml:space="preserve">2. в графе 3 (долгосрочная дебиторская задолженность на 01.01.2021) </w:t>
      </w:r>
    </w:p>
    <w:p w:rsidR="00BB02BA" w:rsidRPr="00EB4618" w:rsidRDefault="00BB02BA" w:rsidP="00BB02BA">
      <w:pPr>
        <w:widowControl w:val="0"/>
        <w:tabs>
          <w:tab w:val="left" w:pos="720"/>
        </w:tabs>
        <w:ind w:right="-6"/>
        <w:jc w:val="both"/>
        <w:rPr>
          <w:color w:val="000000"/>
          <w:sz w:val="28"/>
          <w:szCs w:val="28"/>
        </w:rPr>
      </w:pPr>
      <w:r w:rsidRPr="00EB4618">
        <w:rPr>
          <w:color w:val="000000"/>
          <w:sz w:val="28"/>
          <w:szCs w:val="28"/>
        </w:rPr>
        <w:t xml:space="preserve">на 1 980 000,00 руб. </w:t>
      </w:r>
    </w:p>
    <w:p w:rsidR="00BB02BA" w:rsidRPr="00EB4618" w:rsidRDefault="00BB02BA" w:rsidP="00BB02BA">
      <w:pPr>
        <w:widowControl w:val="0"/>
        <w:tabs>
          <w:tab w:val="left" w:pos="720"/>
        </w:tabs>
        <w:ind w:right="-6"/>
        <w:jc w:val="both"/>
        <w:rPr>
          <w:color w:val="000000"/>
          <w:sz w:val="28"/>
          <w:szCs w:val="28"/>
        </w:rPr>
      </w:pPr>
      <w:r w:rsidRPr="00EB4618">
        <w:rPr>
          <w:color w:val="000000"/>
          <w:sz w:val="28"/>
          <w:szCs w:val="28"/>
        </w:rPr>
        <w:t>360 000,00 руб. (арендная плата в год, согласно договора аренды)*5,5 лет (срок действия договора) = 1 980 000,00;</w:t>
      </w:r>
    </w:p>
    <w:p w:rsidR="00BB02BA" w:rsidRPr="00EB4618" w:rsidRDefault="00BB02BA" w:rsidP="00BB02BA">
      <w:pPr>
        <w:widowControl w:val="0"/>
        <w:tabs>
          <w:tab w:val="left" w:pos="720"/>
        </w:tabs>
        <w:ind w:right="-6"/>
        <w:jc w:val="both"/>
        <w:rPr>
          <w:color w:val="000000"/>
          <w:sz w:val="28"/>
          <w:szCs w:val="28"/>
        </w:rPr>
      </w:pPr>
      <w:r w:rsidRPr="00EB4618">
        <w:rPr>
          <w:color w:val="000000"/>
          <w:sz w:val="28"/>
          <w:szCs w:val="28"/>
        </w:rPr>
        <w:t>3. в графе 4 (просроченная дебиторская задолженность на 01.01.2021) на 615 000,00 руб. (согласно акту сверки взаимных расчетов);</w:t>
      </w:r>
    </w:p>
    <w:p w:rsidR="00BB02BA" w:rsidRPr="00EB4618" w:rsidRDefault="00BB02BA" w:rsidP="00BB02BA">
      <w:pPr>
        <w:widowControl w:val="0"/>
        <w:tabs>
          <w:tab w:val="left" w:pos="720"/>
        </w:tabs>
        <w:ind w:right="-6"/>
        <w:jc w:val="both"/>
        <w:rPr>
          <w:color w:val="000000"/>
          <w:sz w:val="28"/>
          <w:szCs w:val="28"/>
        </w:rPr>
      </w:pPr>
      <w:r w:rsidRPr="00EB4618">
        <w:rPr>
          <w:color w:val="000000"/>
          <w:sz w:val="28"/>
          <w:szCs w:val="28"/>
        </w:rPr>
        <w:t>4. в графе 9 (дебиторская задолженность  на 01.01.2022, всего)</w:t>
      </w:r>
      <w:r>
        <w:rPr>
          <w:color w:val="000000"/>
          <w:sz w:val="28"/>
          <w:szCs w:val="28"/>
        </w:rPr>
        <w:t xml:space="preserve"> </w:t>
      </w:r>
      <w:r w:rsidRPr="00EB4618">
        <w:rPr>
          <w:color w:val="000000"/>
          <w:sz w:val="28"/>
          <w:szCs w:val="28"/>
        </w:rPr>
        <w:t xml:space="preserve">на 30 000,30 руб. </w:t>
      </w:r>
    </w:p>
    <w:p w:rsidR="00BB02BA" w:rsidRPr="00EB4618" w:rsidRDefault="00BB02BA" w:rsidP="00BB02BA">
      <w:pPr>
        <w:widowControl w:val="0"/>
        <w:tabs>
          <w:tab w:val="left" w:pos="720"/>
        </w:tabs>
        <w:ind w:right="-6"/>
        <w:jc w:val="both"/>
        <w:rPr>
          <w:color w:val="000000"/>
          <w:sz w:val="28"/>
          <w:szCs w:val="28"/>
        </w:rPr>
      </w:pPr>
      <w:r w:rsidRPr="00EB4618">
        <w:rPr>
          <w:color w:val="000000"/>
          <w:sz w:val="28"/>
          <w:szCs w:val="28"/>
        </w:rPr>
        <w:t xml:space="preserve">2 595 000,00 (дебиторская задолженность на 01.01.2021) – 375 000,00 (сумма </w:t>
      </w:r>
      <w:r>
        <w:rPr>
          <w:color w:val="000000"/>
          <w:sz w:val="28"/>
          <w:szCs w:val="28"/>
        </w:rPr>
        <w:t>поступлений от ОАО «АТЭК»)</w:t>
      </w:r>
      <w:r w:rsidRPr="00EB4618">
        <w:rPr>
          <w:color w:val="000000"/>
          <w:sz w:val="28"/>
          <w:szCs w:val="28"/>
        </w:rPr>
        <w:t>= 2 220 000,00;</w:t>
      </w:r>
    </w:p>
    <w:p w:rsidR="00BB02BA" w:rsidRPr="00EB4618" w:rsidRDefault="00BB02BA" w:rsidP="00BB02BA">
      <w:pPr>
        <w:widowControl w:val="0"/>
        <w:tabs>
          <w:tab w:val="left" w:pos="720"/>
        </w:tabs>
        <w:ind w:right="-6"/>
        <w:jc w:val="both"/>
        <w:rPr>
          <w:color w:val="000000"/>
          <w:sz w:val="28"/>
          <w:szCs w:val="28"/>
        </w:rPr>
      </w:pPr>
      <w:r w:rsidRPr="00EB4618">
        <w:rPr>
          <w:color w:val="000000"/>
          <w:sz w:val="28"/>
          <w:szCs w:val="28"/>
        </w:rPr>
        <w:t xml:space="preserve">5. в графе 10 (долгосрочная дебиторская задолженность на 01.01.2022)                        на 1 620 000,00 </w:t>
      </w:r>
    </w:p>
    <w:p w:rsidR="00BB02BA" w:rsidRPr="00EB4618" w:rsidRDefault="00BB02BA" w:rsidP="00BB02BA">
      <w:pPr>
        <w:widowControl w:val="0"/>
        <w:tabs>
          <w:tab w:val="left" w:pos="720"/>
        </w:tabs>
        <w:ind w:right="-6"/>
        <w:jc w:val="both"/>
        <w:rPr>
          <w:color w:val="000000"/>
          <w:sz w:val="28"/>
          <w:szCs w:val="28"/>
        </w:rPr>
      </w:pPr>
      <w:r w:rsidRPr="00EB4618">
        <w:rPr>
          <w:color w:val="000000"/>
          <w:sz w:val="28"/>
          <w:szCs w:val="28"/>
        </w:rPr>
        <w:t>1 980 000,00 – 360 000,00 = 1 620 000,00 (остаток по договору);</w:t>
      </w:r>
    </w:p>
    <w:p w:rsidR="00BB02BA" w:rsidRPr="00EB4618" w:rsidRDefault="00BB02BA" w:rsidP="00BB02BA">
      <w:pPr>
        <w:widowControl w:val="0"/>
        <w:tabs>
          <w:tab w:val="left" w:pos="720"/>
        </w:tabs>
        <w:ind w:right="-6"/>
        <w:jc w:val="both"/>
        <w:rPr>
          <w:color w:val="000000"/>
          <w:sz w:val="28"/>
          <w:szCs w:val="28"/>
        </w:rPr>
      </w:pPr>
      <w:r>
        <w:rPr>
          <w:color w:val="000000"/>
          <w:sz w:val="28"/>
          <w:szCs w:val="28"/>
        </w:rPr>
        <w:t>6.</w:t>
      </w:r>
      <w:r w:rsidRPr="00EB4618">
        <w:rPr>
          <w:color w:val="000000"/>
          <w:sz w:val="28"/>
          <w:szCs w:val="28"/>
        </w:rPr>
        <w:t xml:space="preserve"> в графе 11 (просроченная дебиторская задолженность на 01.01.2022)                   на 600 000,00 руб. (согласно акту сверки взаимных расчетов).</w:t>
      </w:r>
    </w:p>
    <w:p w:rsidR="00D74EE9" w:rsidRPr="00ED740E" w:rsidRDefault="00D74EE9" w:rsidP="00D74EE9">
      <w:pPr>
        <w:widowControl w:val="0"/>
        <w:tabs>
          <w:tab w:val="left" w:pos="720"/>
        </w:tabs>
        <w:ind w:right="-6" w:firstLine="720"/>
        <w:jc w:val="both"/>
        <w:rPr>
          <w:color w:val="000000"/>
          <w:sz w:val="28"/>
          <w:szCs w:val="28"/>
        </w:rPr>
      </w:pPr>
      <w:r w:rsidRPr="00ED740E">
        <w:rPr>
          <w:color w:val="000000"/>
          <w:sz w:val="28"/>
          <w:szCs w:val="28"/>
        </w:rPr>
        <w:t xml:space="preserve">В результате чего недостоверны (искажены) показатели раздела </w:t>
      </w:r>
      <w:r w:rsidRPr="00ED740E">
        <w:rPr>
          <w:color w:val="000000"/>
          <w:sz w:val="28"/>
          <w:szCs w:val="28"/>
          <w:lang w:val="en-US"/>
        </w:rPr>
        <w:t>II</w:t>
      </w:r>
      <w:r w:rsidRPr="00ED740E">
        <w:rPr>
          <w:color w:val="000000"/>
          <w:sz w:val="28"/>
          <w:szCs w:val="28"/>
        </w:rPr>
        <w:t xml:space="preserve"> «Финансовые активы» Баланса ф. 0503130 по строке 250 «Дебиторская задолженность» графы 3, 5, 6, 8  на 30 000,30 руб., по строке 251 «долгосрочная дебиторская задолженность» графа 3 на начало года на 2 595 000,00 руб. (100 %), графа 8 - на 2 220 000,00 руб. (100 %).</w:t>
      </w:r>
    </w:p>
    <w:p w:rsidR="00D74EE9" w:rsidRPr="00ED740E" w:rsidRDefault="00D74EE9" w:rsidP="00D74EE9">
      <w:pPr>
        <w:suppressAutoHyphens/>
        <w:ind w:firstLine="709"/>
        <w:contextualSpacing/>
        <w:jc w:val="both"/>
        <w:rPr>
          <w:sz w:val="28"/>
          <w:szCs w:val="28"/>
        </w:rPr>
      </w:pPr>
      <w:r w:rsidRPr="00ED740E">
        <w:rPr>
          <w:sz w:val="28"/>
          <w:szCs w:val="28"/>
        </w:rPr>
        <w:t>Указанные факты привели к существенному искажению строк Баланса</w:t>
      </w:r>
      <w:r>
        <w:rPr>
          <w:sz w:val="28"/>
          <w:szCs w:val="28"/>
        </w:rPr>
        <w:t xml:space="preserve">           </w:t>
      </w:r>
      <w:r w:rsidRPr="00ED740E">
        <w:rPr>
          <w:sz w:val="28"/>
          <w:szCs w:val="28"/>
        </w:rPr>
        <w:t xml:space="preserve"> ф. 0503130 сельского поселения Кубанец Тимашевского района:</w:t>
      </w:r>
    </w:p>
    <w:p w:rsidR="00BB61A4" w:rsidRPr="003E11A3" w:rsidRDefault="00BB61A4" w:rsidP="00BB61A4">
      <w:pPr>
        <w:suppressAutoHyphens/>
        <w:ind w:firstLine="709"/>
        <w:contextualSpacing/>
        <w:jc w:val="both"/>
        <w:rPr>
          <w:sz w:val="28"/>
          <w:szCs w:val="28"/>
        </w:rPr>
      </w:pPr>
      <w:r w:rsidRPr="006F78AA">
        <w:rPr>
          <w:color w:val="000000"/>
          <w:sz w:val="28"/>
          <w:szCs w:val="28"/>
        </w:rPr>
        <w:t xml:space="preserve">190 «Итого по разделу </w:t>
      </w:r>
      <w:r w:rsidRPr="006F78AA">
        <w:rPr>
          <w:color w:val="000000"/>
          <w:sz w:val="28"/>
          <w:szCs w:val="28"/>
          <w:lang w:val="en-US"/>
        </w:rPr>
        <w:t>I</w:t>
      </w:r>
      <w:r>
        <w:rPr>
          <w:color w:val="000000"/>
          <w:sz w:val="28"/>
          <w:szCs w:val="28"/>
        </w:rPr>
        <w:t>»</w:t>
      </w:r>
      <w:r w:rsidRPr="006F78AA">
        <w:rPr>
          <w:color w:val="000000"/>
          <w:sz w:val="28"/>
          <w:szCs w:val="28"/>
        </w:rPr>
        <w:t xml:space="preserve"> (стр. 030 + стр. 060 + стр. 070 + стр. 080 + стр. 100 + стр. 120 + стр. 130 + стр. 140 + стр. </w:t>
      </w:r>
      <w:r w:rsidRPr="003E11A3">
        <w:rPr>
          <w:sz w:val="28"/>
          <w:szCs w:val="28"/>
        </w:rPr>
        <w:t>150 + стр. 160)» на начало года  – на 5 404 845,61 руб. (15,94 процента);</w:t>
      </w:r>
    </w:p>
    <w:p w:rsidR="00BB61A4" w:rsidRDefault="00BB61A4" w:rsidP="00BB61A4">
      <w:pPr>
        <w:suppressAutoHyphens/>
        <w:ind w:firstLine="709"/>
        <w:contextualSpacing/>
        <w:jc w:val="both"/>
        <w:rPr>
          <w:sz w:val="28"/>
          <w:szCs w:val="28"/>
        </w:rPr>
      </w:pPr>
      <w:r w:rsidRPr="006F78AA">
        <w:rPr>
          <w:color w:val="000000"/>
          <w:sz w:val="28"/>
          <w:szCs w:val="28"/>
        </w:rPr>
        <w:t xml:space="preserve">190 «Итого по разделу </w:t>
      </w:r>
      <w:r w:rsidRPr="006F78AA">
        <w:rPr>
          <w:color w:val="000000"/>
          <w:sz w:val="28"/>
          <w:szCs w:val="28"/>
          <w:lang w:val="en-US"/>
        </w:rPr>
        <w:t>I</w:t>
      </w:r>
      <w:r>
        <w:rPr>
          <w:color w:val="000000"/>
          <w:sz w:val="28"/>
          <w:szCs w:val="28"/>
        </w:rPr>
        <w:t>»</w:t>
      </w:r>
      <w:r w:rsidRPr="006F78AA">
        <w:rPr>
          <w:color w:val="000000"/>
          <w:sz w:val="28"/>
          <w:szCs w:val="28"/>
        </w:rPr>
        <w:t xml:space="preserve"> (стр. 030 + стр. 060 + стр. 070 + стр. 080 + стр. 100 + стр. 120 + стр. 130 + стр. 140 + стр. 150 + стр. 160)»</w:t>
      </w:r>
      <w:r>
        <w:rPr>
          <w:color w:val="000000"/>
          <w:sz w:val="28"/>
          <w:szCs w:val="28"/>
        </w:rPr>
        <w:t xml:space="preserve"> на конец отчетного периода</w:t>
      </w:r>
      <w:r w:rsidRPr="006F78AA">
        <w:rPr>
          <w:color w:val="000000"/>
          <w:sz w:val="28"/>
          <w:szCs w:val="28"/>
        </w:rPr>
        <w:t xml:space="preserve"> – на </w:t>
      </w:r>
      <w:r w:rsidRPr="003E11A3">
        <w:rPr>
          <w:sz w:val="28"/>
          <w:szCs w:val="28"/>
        </w:rPr>
        <w:t>5 404 845,61 руб. (15,77 процента);</w:t>
      </w:r>
    </w:p>
    <w:p w:rsidR="00BB61A4" w:rsidRDefault="00BB61A4" w:rsidP="00BB61A4">
      <w:pPr>
        <w:widowControl w:val="0"/>
        <w:suppressAutoHyphens/>
        <w:ind w:firstLine="709"/>
        <w:contextualSpacing/>
        <w:jc w:val="both"/>
        <w:rPr>
          <w:color w:val="000000"/>
          <w:sz w:val="28"/>
          <w:szCs w:val="28"/>
        </w:rPr>
      </w:pPr>
      <w:r>
        <w:rPr>
          <w:color w:val="000000"/>
          <w:sz w:val="28"/>
          <w:szCs w:val="28"/>
        </w:rPr>
        <w:t xml:space="preserve">340 «Итого по разделу </w:t>
      </w:r>
      <w:r w:rsidRPr="006F78AA">
        <w:rPr>
          <w:color w:val="000000"/>
          <w:sz w:val="28"/>
          <w:szCs w:val="28"/>
          <w:lang w:val="en-US"/>
        </w:rPr>
        <w:t>II</w:t>
      </w:r>
      <w:r>
        <w:rPr>
          <w:color w:val="000000"/>
          <w:sz w:val="28"/>
          <w:szCs w:val="28"/>
        </w:rPr>
        <w:t>» (стр. 200 + стр. 240 + стр. 250 + стр. 260 + стр. 270 + стр. 280 + стр. 290) на начало года</w:t>
      </w:r>
      <w:r w:rsidRPr="00D86449">
        <w:rPr>
          <w:color w:val="000000"/>
          <w:sz w:val="28"/>
          <w:szCs w:val="28"/>
        </w:rPr>
        <w:t xml:space="preserve"> </w:t>
      </w:r>
      <w:r>
        <w:rPr>
          <w:color w:val="000000"/>
          <w:sz w:val="28"/>
          <w:szCs w:val="28"/>
        </w:rPr>
        <w:t>на 30 000,30 руб. или 0,17 %;</w:t>
      </w:r>
    </w:p>
    <w:p w:rsidR="00BB61A4" w:rsidRDefault="00BB61A4" w:rsidP="00BB61A4">
      <w:pPr>
        <w:widowControl w:val="0"/>
        <w:suppressAutoHyphens/>
        <w:ind w:firstLine="709"/>
        <w:contextualSpacing/>
        <w:jc w:val="both"/>
        <w:rPr>
          <w:color w:val="000000"/>
          <w:sz w:val="28"/>
          <w:szCs w:val="28"/>
        </w:rPr>
      </w:pPr>
      <w:r>
        <w:rPr>
          <w:color w:val="000000"/>
          <w:sz w:val="28"/>
          <w:szCs w:val="28"/>
        </w:rPr>
        <w:t xml:space="preserve">340 «Итого по разделу </w:t>
      </w:r>
      <w:r w:rsidRPr="006F78AA">
        <w:rPr>
          <w:color w:val="000000"/>
          <w:sz w:val="28"/>
          <w:szCs w:val="28"/>
          <w:lang w:val="en-US"/>
        </w:rPr>
        <w:t>II</w:t>
      </w:r>
      <w:r>
        <w:rPr>
          <w:color w:val="000000"/>
          <w:sz w:val="28"/>
          <w:szCs w:val="28"/>
        </w:rPr>
        <w:t>» (стр. 200 + стр. 240 + стр. 250 + стр. 260 + стр. 270 + стр. 280 + стр. 290) на конец отчетного периода на 30 000,30 или 0,33 %.</w:t>
      </w:r>
    </w:p>
    <w:p w:rsidR="00BB61A4" w:rsidRPr="00D86449" w:rsidRDefault="00BB61A4" w:rsidP="00BB61A4">
      <w:pPr>
        <w:suppressAutoHyphens/>
        <w:ind w:firstLine="709"/>
        <w:contextualSpacing/>
        <w:jc w:val="both"/>
        <w:rPr>
          <w:sz w:val="28"/>
          <w:szCs w:val="28"/>
        </w:rPr>
      </w:pPr>
      <w:r w:rsidRPr="00D86449">
        <w:rPr>
          <w:sz w:val="28"/>
          <w:szCs w:val="28"/>
        </w:rPr>
        <w:t>570 «Финансовый результат экономического субъекта» на начало года -5 434 845,91 руб. или 14,55 %;</w:t>
      </w:r>
    </w:p>
    <w:p w:rsidR="00BB61A4" w:rsidRPr="00D86449" w:rsidRDefault="00BB61A4" w:rsidP="00BB61A4">
      <w:pPr>
        <w:suppressAutoHyphens/>
        <w:ind w:firstLine="709"/>
        <w:contextualSpacing/>
        <w:jc w:val="both"/>
        <w:rPr>
          <w:sz w:val="28"/>
          <w:szCs w:val="28"/>
        </w:rPr>
      </w:pPr>
      <w:r w:rsidRPr="00D86449">
        <w:rPr>
          <w:sz w:val="28"/>
          <w:szCs w:val="28"/>
        </w:rPr>
        <w:t>570 «Финансовый результат экономического субъекта» на конец отчетного период - 5 434 845,91 руб. или 14,28 %.</w:t>
      </w:r>
    </w:p>
    <w:p w:rsidR="00BB61A4" w:rsidRDefault="00BB02BA" w:rsidP="00BB61A4">
      <w:pPr>
        <w:widowControl w:val="0"/>
        <w:suppressAutoHyphens/>
        <w:ind w:firstLine="709"/>
        <w:jc w:val="both"/>
        <w:rPr>
          <w:sz w:val="28"/>
          <w:szCs w:val="28"/>
        </w:rPr>
      </w:pPr>
      <w:r>
        <w:rPr>
          <w:sz w:val="28"/>
          <w:szCs w:val="28"/>
        </w:rPr>
        <w:t>4</w:t>
      </w:r>
      <w:r w:rsidR="00BB61A4">
        <w:rPr>
          <w:sz w:val="28"/>
          <w:szCs w:val="28"/>
        </w:rPr>
        <w:t>. В нарушение пункта 167 Инструкции № 191н раздел 2 ф. 0503169 не отражена соответствующая аналитическая информация о просроченной дебиторской задолженности образовавшаяся на 01.01.2022.</w:t>
      </w:r>
    </w:p>
    <w:p w:rsidR="00BB61A4" w:rsidRDefault="00BB61A4" w:rsidP="00BB61A4">
      <w:pPr>
        <w:spacing w:line="252" w:lineRule="auto"/>
        <w:ind w:firstLine="709"/>
        <w:jc w:val="both"/>
        <w:rPr>
          <w:color w:val="000000"/>
          <w:sz w:val="28"/>
          <w:szCs w:val="28"/>
        </w:rPr>
      </w:pPr>
      <w:r w:rsidRPr="00D86449">
        <w:rPr>
          <w:color w:val="000000"/>
          <w:sz w:val="28"/>
          <w:szCs w:val="28"/>
        </w:rPr>
        <w:t xml:space="preserve">Таким образом, в действиях главного </w:t>
      </w:r>
      <w:r w:rsidRPr="005E1F02">
        <w:rPr>
          <w:color w:val="000000"/>
          <w:sz w:val="28"/>
          <w:szCs w:val="28"/>
        </w:rPr>
        <w:t xml:space="preserve">бухгалтера </w:t>
      </w:r>
      <w:r>
        <w:rPr>
          <w:color w:val="000000"/>
          <w:sz w:val="28"/>
          <w:szCs w:val="28"/>
        </w:rPr>
        <w:t xml:space="preserve">усматриваются </w:t>
      </w:r>
      <w:r w:rsidRPr="005E1F02">
        <w:rPr>
          <w:color w:val="000000"/>
          <w:sz w:val="28"/>
          <w:szCs w:val="28"/>
        </w:rPr>
        <w:t>признаки состава административного правонарушения, предусмотренного</w:t>
      </w:r>
      <w:r w:rsidRPr="00D86449">
        <w:rPr>
          <w:color w:val="000000"/>
          <w:sz w:val="28"/>
          <w:szCs w:val="28"/>
        </w:rPr>
        <w:t xml:space="preserve"> частью 4 статьи 15.15.6 КоАП РФ, выразившегося в искажении показателей бюджетной отчетности, выраженных в денежном измерении, которое привело к искажению информации об активах и финансовом результате, более чем на 10%.</w:t>
      </w:r>
    </w:p>
    <w:p w:rsidR="00BB61A4" w:rsidRDefault="00BB02BA" w:rsidP="00BB61A4">
      <w:pPr>
        <w:spacing w:line="252" w:lineRule="auto"/>
        <w:ind w:firstLine="709"/>
        <w:jc w:val="both"/>
        <w:rPr>
          <w:bCs/>
          <w:sz w:val="28"/>
          <w:szCs w:val="28"/>
        </w:rPr>
      </w:pPr>
      <w:r>
        <w:rPr>
          <w:bCs/>
          <w:sz w:val="28"/>
          <w:szCs w:val="28"/>
        </w:rPr>
        <w:lastRenderedPageBreak/>
        <w:t>5</w:t>
      </w:r>
      <w:r w:rsidR="00BB61A4">
        <w:rPr>
          <w:bCs/>
          <w:sz w:val="28"/>
          <w:szCs w:val="28"/>
        </w:rPr>
        <w:t xml:space="preserve">. В нарушение пункта 57 Инструкции № 191н в ф. 0503127 </w:t>
      </w:r>
      <w:r w:rsidR="00BB61A4">
        <w:rPr>
          <w:sz w:val="28"/>
          <w:szCs w:val="28"/>
        </w:rPr>
        <w:t xml:space="preserve">по нескольким КБК </w:t>
      </w:r>
      <w:r w:rsidR="00BB61A4" w:rsidRPr="00D93086">
        <w:rPr>
          <w:sz w:val="28"/>
          <w:szCs w:val="28"/>
        </w:rPr>
        <w:t>заполнена графа 9 при исполнении сверхплановых показателей</w:t>
      </w:r>
      <w:r w:rsidR="00BB61A4">
        <w:rPr>
          <w:sz w:val="28"/>
          <w:szCs w:val="28"/>
        </w:rPr>
        <w:t xml:space="preserve">, а также </w:t>
      </w:r>
      <w:r w:rsidR="00BB61A4" w:rsidRPr="00D93086">
        <w:rPr>
          <w:sz w:val="28"/>
          <w:szCs w:val="28"/>
        </w:rPr>
        <w:t>неверно посчитана разность показателей графы 4 и графы 8</w:t>
      </w:r>
      <w:r w:rsidR="00BB61A4">
        <w:rPr>
          <w:sz w:val="28"/>
          <w:szCs w:val="28"/>
        </w:rPr>
        <w:t>.</w:t>
      </w:r>
    </w:p>
    <w:p w:rsidR="00BB61A4" w:rsidRPr="004507D3" w:rsidRDefault="00BB02BA" w:rsidP="00BB61A4">
      <w:pPr>
        <w:tabs>
          <w:tab w:val="left" w:pos="993"/>
        </w:tabs>
        <w:ind w:firstLine="709"/>
        <w:jc w:val="both"/>
        <w:rPr>
          <w:bCs/>
          <w:sz w:val="28"/>
          <w:szCs w:val="28"/>
        </w:rPr>
      </w:pPr>
      <w:r>
        <w:rPr>
          <w:sz w:val="28"/>
          <w:szCs w:val="28"/>
        </w:rPr>
        <w:t>6</w:t>
      </w:r>
      <w:r w:rsidR="00BB61A4">
        <w:rPr>
          <w:sz w:val="28"/>
          <w:szCs w:val="28"/>
        </w:rPr>
        <w:t xml:space="preserve">. </w:t>
      </w:r>
      <w:r w:rsidR="00BB61A4">
        <w:rPr>
          <w:bCs/>
          <w:sz w:val="28"/>
          <w:szCs w:val="28"/>
        </w:rPr>
        <w:t>В н</w:t>
      </w:r>
      <w:r w:rsidR="00BB61A4" w:rsidRPr="004507D3">
        <w:rPr>
          <w:bCs/>
          <w:sz w:val="28"/>
          <w:szCs w:val="28"/>
        </w:rPr>
        <w:t>арушение пункта 3.5 соглашения о передаче полномочий по осуществлению внешнего муниципального контроля, заключенного между Советом сельского поселения Кубанец Тимашевского района и контрольно - счетной палатой муниципального образования Тимашевский район № 4 от 15.01.2021</w:t>
      </w:r>
      <w:r w:rsidR="00BB61A4">
        <w:rPr>
          <w:bCs/>
          <w:sz w:val="28"/>
          <w:szCs w:val="28"/>
        </w:rPr>
        <w:t xml:space="preserve"> </w:t>
      </w:r>
      <w:r w:rsidR="00BB61A4" w:rsidRPr="004507D3">
        <w:rPr>
          <w:bCs/>
          <w:sz w:val="28"/>
          <w:szCs w:val="28"/>
        </w:rPr>
        <w:t xml:space="preserve">перечисление части межбюджетных трансфертов </w:t>
      </w:r>
      <w:r w:rsidR="00BB61A4">
        <w:rPr>
          <w:bCs/>
          <w:sz w:val="28"/>
          <w:szCs w:val="28"/>
        </w:rPr>
        <w:t xml:space="preserve">осуществлено с нарушением сроков </w:t>
      </w:r>
      <w:r w:rsidR="00BB61A4" w:rsidRPr="004507D3">
        <w:rPr>
          <w:bCs/>
          <w:sz w:val="28"/>
          <w:szCs w:val="28"/>
        </w:rPr>
        <w:t>(платежное поручение № 31744 от 19.04.2021).</w:t>
      </w:r>
    </w:p>
    <w:p w:rsidR="00BB61A4" w:rsidRDefault="00BB61A4" w:rsidP="00BB61A4">
      <w:pPr>
        <w:ind w:firstLine="709"/>
        <w:jc w:val="both"/>
        <w:rPr>
          <w:bCs/>
          <w:sz w:val="28"/>
          <w:szCs w:val="28"/>
        </w:rPr>
      </w:pPr>
      <w:r w:rsidRPr="004507D3">
        <w:rPr>
          <w:color w:val="000000"/>
          <w:sz w:val="28"/>
          <w:szCs w:val="28"/>
        </w:rPr>
        <w:t xml:space="preserve">Таким образом, в действиях сельского поселения Кубанец Тимашевского района, усматриваются признаки состава административного </w:t>
      </w:r>
      <w:r w:rsidRPr="004507D3">
        <w:rPr>
          <w:sz w:val="28"/>
          <w:szCs w:val="28"/>
        </w:rPr>
        <w:t xml:space="preserve">правонарушения, предусмотренного частью </w:t>
      </w:r>
      <w:r w:rsidR="008B3CC7">
        <w:rPr>
          <w:sz w:val="28"/>
          <w:szCs w:val="28"/>
        </w:rPr>
        <w:t>1</w:t>
      </w:r>
      <w:r w:rsidRPr="004507D3">
        <w:rPr>
          <w:sz w:val="28"/>
          <w:szCs w:val="28"/>
        </w:rPr>
        <w:t xml:space="preserve"> статьи 15.15.3 КоАП РФ, выразившегося в нарушении главным распорядителем бюджетных средств, предоставляющим межбюджетные трансферты, порядка и (или) условий предоставления межбюджетных трансфертов.</w:t>
      </w:r>
    </w:p>
    <w:p w:rsidR="00BB61A4" w:rsidRPr="00BB61A4" w:rsidRDefault="00BB61A4" w:rsidP="00BB61A4">
      <w:pPr>
        <w:ind w:firstLine="709"/>
        <w:jc w:val="both"/>
        <w:rPr>
          <w:bCs/>
          <w:sz w:val="28"/>
          <w:szCs w:val="28"/>
        </w:rPr>
      </w:pPr>
      <w:r>
        <w:rPr>
          <w:sz w:val="28"/>
          <w:szCs w:val="28"/>
        </w:rPr>
        <w:t xml:space="preserve">В ходе анализа </w:t>
      </w:r>
      <w:r w:rsidRPr="00BB61A4">
        <w:rPr>
          <w:sz w:val="28"/>
          <w:szCs w:val="28"/>
        </w:rPr>
        <w:t>информации по санкционированию расходов бюджета поселения нарушений не установлено.</w:t>
      </w:r>
    </w:p>
    <w:p w:rsidR="00040631" w:rsidRPr="00BB61A4" w:rsidRDefault="00040631" w:rsidP="00A74701">
      <w:pPr>
        <w:ind w:firstLine="709"/>
        <w:jc w:val="both"/>
        <w:rPr>
          <w:sz w:val="28"/>
          <w:szCs w:val="28"/>
        </w:rPr>
      </w:pPr>
    </w:p>
    <w:p w:rsidR="008547D9" w:rsidRPr="00BB61A4" w:rsidRDefault="00BF7ECA" w:rsidP="00A74701">
      <w:pPr>
        <w:autoSpaceDE w:val="0"/>
        <w:autoSpaceDN w:val="0"/>
        <w:adjustRightInd w:val="0"/>
        <w:ind w:firstLine="709"/>
        <w:rPr>
          <w:b/>
          <w:sz w:val="28"/>
          <w:szCs w:val="28"/>
        </w:rPr>
      </w:pPr>
      <w:r w:rsidRPr="00BB61A4">
        <w:rPr>
          <w:sz w:val="28"/>
          <w:szCs w:val="28"/>
        </w:rPr>
        <w:t xml:space="preserve">         </w:t>
      </w:r>
      <w:r w:rsidR="00011A4F" w:rsidRPr="00BB61A4">
        <w:rPr>
          <w:sz w:val="28"/>
          <w:szCs w:val="28"/>
        </w:rPr>
        <w:t xml:space="preserve">         </w:t>
      </w:r>
      <w:r w:rsidRPr="00BB61A4">
        <w:rPr>
          <w:b/>
          <w:sz w:val="28"/>
          <w:szCs w:val="28"/>
        </w:rPr>
        <w:t>3</w:t>
      </w:r>
      <w:r w:rsidR="008547D9" w:rsidRPr="00BB61A4">
        <w:rPr>
          <w:b/>
          <w:sz w:val="28"/>
          <w:szCs w:val="28"/>
        </w:rPr>
        <w:t>. Предложения по результатам проверки:</w:t>
      </w:r>
    </w:p>
    <w:p w:rsidR="00AC696D" w:rsidRPr="00BB61A4" w:rsidRDefault="00AC696D" w:rsidP="00A74701">
      <w:pPr>
        <w:autoSpaceDE w:val="0"/>
        <w:autoSpaceDN w:val="0"/>
        <w:adjustRightInd w:val="0"/>
        <w:ind w:firstLine="709"/>
        <w:rPr>
          <w:b/>
          <w:sz w:val="28"/>
          <w:szCs w:val="28"/>
        </w:rPr>
      </w:pPr>
    </w:p>
    <w:p w:rsidR="00BB61A4" w:rsidRDefault="00BB61A4" w:rsidP="00BB61A4">
      <w:pPr>
        <w:ind w:firstLine="709"/>
        <w:jc w:val="both"/>
        <w:rPr>
          <w:sz w:val="28"/>
          <w:szCs w:val="28"/>
        </w:rPr>
      </w:pPr>
      <w:r>
        <w:rPr>
          <w:sz w:val="28"/>
          <w:szCs w:val="28"/>
        </w:rPr>
        <w:t>3</w:t>
      </w:r>
      <w:r w:rsidRPr="00BB61A4">
        <w:rPr>
          <w:sz w:val="28"/>
          <w:szCs w:val="28"/>
        </w:rPr>
        <w:t xml:space="preserve">.1. В целях </w:t>
      </w:r>
      <w:r w:rsidRPr="00BB61A4">
        <w:rPr>
          <w:sz w:val="28"/>
        </w:rPr>
        <w:t xml:space="preserve">соблюдения бюджетного законодательства и </w:t>
      </w:r>
      <w:r w:rsidRPr="00BB61A4">
        <w:rPr>
          <w:sz w:val="28"/>
          <w:szCs w:val="28"/>
        </w:rPr>
        <w:t>нормативных правовых актов Российской Федерации,</w:t>
      </w:r>
      <w:r w:rsidRPr="00BB61A4">
        <w:rPr>
          <w:sz w:val="28"/>
        </w:rPr>
        <w:t xml:space="preserve"> при составлении бюджетной отчетности главными администраторами средств бюджета сельского поселения Кубанец, обеспечить </w:t>
      </w:r>
      <w:r w:rsidRPr="00BB61A4">
        <w:rPr>
          <w:sz w:val="28"/>
          <w:szCs w:val="28"/>
        </w:rPr>
        <w:t>усиление контроля за формированием</w:t>
      </w:r>
      <w:r>
        <w:rPr>
          <w:sz w:val="28"/>
          <w:szCs w:val="28"/>
        </w:rPr>
        <w:t xml:space="preserve"> бюджетной отчетности и не допущению фактов искажения бюджетной отчетности.</w:t>
      </w:r>
    </w:p>
    <w:p w:rsidR="00BB61A4" w:rsidRDefault="00BB61A4" w:rsidP="00BB61A4">
      <w:pPr>
        <w:ind w:firstLine="567"/>
        <w:jc w:val="both"/>
        <w:rPr>
          <w:sz w:val="28"/>
          <w:szCs w:val="28"/>
        </w:rPr>
      </w:pPr>
      <w:r>
        <w:rPr>
          <w:sz w:val="28"/>
          <w:szCs w:val="28"/>
        </w:rPr>
        <w:t>3.2. Усилить контроль за соблюдением обязанности установленной п.3 Приказа Минэкономразвития России от 30.08.2011 № 424 «Об утверждении Порядка ведения органами местного самоуправления реестров муниципального имущества» в части обеспечения соблюдения правил ведения реестра и требований, предъявл</w:t>
      </w:r>
      <w:r w:rsidR="00CA25E9">
        <w:rPr>
          <w:sz w:val="28"/>
          <w:szCs w:val="28"/>
        </w:rPr>
        <w:t>яемых к системе ведения реестра.</w:t>
      </w:r>
    </w:p>
    <w:p w:rsidR="00BB61A4" w:rsidRDefault="00BB61A4" w:rsidP="00BB61A4">
      <w:pPr>
        <w:ind w:firstLine="709"/>
        <w:jc w:val="both"/>
        <w:rPr>
          <w:sz w:val="28"/>
          <w:szCs w:val="28"/>
        </w:rPr>
      </w:pPr>
      <w:r>
        <w:rPr>
          <w:sz w:val="28"/>
          <w:szCs w:val="28"/>
        </w:rPr>
        <w:t>3.3. Провести проверку по выявленным фактам нарушения п.3 Приказа Минэкономразвития России от 30.08.2011 № 424 «Об утверждении Порядка ведения органами местного самоуправления реестров муниципального имущества», по результатам которой рассмотреть вопрос о привлечении к дисциплинарной ответственности виновного должностного лица.</w:t>
      </w:r>
    </w:p>
    <w:p w:rsidR="00BB61A4" w:rsidRDefault="00BB61A4" w:rsidP="00BB61A4">
      <w:pPr>
        <w:ind w:firstLine="708"/>
        <w:jc w:val="both"/>
        <w:rPr>
          <w:sz w:val="28"/>
          <w:szCs w:val="28"/>
        </w:rPr>
      </w:pPr>
      <w:r>
        <w:rPr>
          <w:sz w:val="28"/>
          <w:szCs w:val="28"/>
        </w:rPr>
        <w:t xml:space="preserve">3.4. Учесть замечания контрольно-счетной палаты, изложенные в настоящем акте, для недопущения аналогичных нарушений действующего бюджетного законодательства и требований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№191н, при составлении годовой бюджетной отчетности. </w:t>
      </w:r>
    </w:p>
    <w:p w:rsidR="00BB61A4" w:rsidRDefault="00BB61A4" w:rsidP="00BB61A4">
      <w:pPr>
        <w:autoSpaceDE w:val="0"/>
        <w:autoSpaceDN w:val="0"/>
        <w:adjustRightInd w:val="0"/>
        <w:ind w:firstLine="851"/>
        <w:jc w:val="both"/>
        <w:rPr>
          <w:sz w:val="28"/>
          <w:szCs w:val="28"/>
        </w:rPr>
      </w:pPr>
      <w:r>
        <w:rPr>
          <w:sz w:val="28"/>
          <w:szCs w:val="28"/>
        </w:rPr>
        <w:t xml:space="preserve">3.5. Принять меры по устранению выявленных нарушений, исправить ошибки, выявленные проверкой в формах бюджетной отчетности в </w:t>
      </w:r>
      <w:r>
        <w:rPr>
          <w:sz w:val="28"/>
          <w:szCs w:val="28"/>
        </w:rPr>
        <w:lastRenderedPageBreak/>
        <w:t>соответствии с требованиями Стандартов «Учетная политика, оценочные значения и ошибки», «Концептуальные основы бухгалтерского учета и отчетности организаций государственного сектора»</w:t>
      </w:r>
      <w:r w:rsidR="00CA25E9">
        <w:rPr>
          <w:sz w:val="28"/>
          <w:szCs w:val="28"/>
        </w:rPr>
        <w:t>.</w:t>
      </w:r>
    </w:p>
    <w:p w:rsidR="0076094C" w:rsidRPr="00BB61A4" w:rsidRDefault="0076094C" w:rsidP="00A74701">
      <w:pPr>
        <w:jc w:val="both"/>
        <w:rPr>
          <w:sz w:val="24"/>
          <w:szCs w:val="24"/>
        </w:rPr>
      </w:pPr>
    </w:p>
    <w:p w:rsidR="001A1B7C" w:rsidRPr="00BB61A4" w:rsidRDefault="001A1B7C" w:rsidP="00A74701">
      <w:pPr>
        <w:jc w:val="both"/>
        <w:rPr>
          <w:sz w:val="24"/>
          <w:szCs w:val="24"/>
        </w:rPr>
      </w:pPr>
    </w:p>
    <w:p w:rsidR="001A1B7C" w:rsidRPr="00BB61A4" w:rsidRDefault="001A1B7C" w:rsidP="00A74701">
      <w:pPr>
        <w:jc w:val="both"/>
        <w:rPr>
          <w:sz w:val="24"/>
          <w:szCs w:val="24"/>
        </w:rPr>
      </w:pPr>
    </w:p>
    <w:p w:rsidR="009D202D" w:rsidRPr="00BB61A4" w:rsidRDefault="001D0E12" w:rsidP="001A1B7C">
      <w:pPr>
        <w:jc w:val="both"/>
        <w:rPr>
          <w:sz w:val="28"/>
          <w:szCs w:val="28"/>
        </w:rPr>
      </w:pPr>
      <w:r w:rsidRPr="00BB61A4">
        <w:rPr>
          <w:sz w:val="28"/>
          <w:szCs w:val="28"/>
        </w:rPr>
        <w:t>Отчет подготовила</w:t>
      </w:r>
      <w:r w:rsidR="001A1B7C" w:rsidRPr="00BB61A4">
        <w:rPr>
          <w:sz w:val="28"/>
          <w:szCs w:val="28"/>
        </w:rPr>
        <w:t>:</w:t>
      </w:r>
    </w:p>
    <w:p w:rsidR="001D0E12" w:rsidRPr="009D202D" w:rsidRDefault="001A1B7C" w:rsidP="001A1B7C">
      <w:pPr>
        <w:jc w:val="both"/>
        <w:rPr>
          <w:sz w:val="28"/>
          <w:szCs w:val="28"/>
        </w:rPr>
      </w:pPr>
      <w:r w:rsidRPr="00BB61A4">
        <w:rPr>
          <w:sz w:val="28"/>
          <w:szCs w:val="28"/>
        </w:rPr>
        <w:t>И</w:t>
      </w:r>
      <w:r w:rsidR="009D202D" w:rsidRPr="00BB61A4">
        <w:rPr>
          <w:sz w:val="28"/>
          <w:szCs w:val="28"/>
        </w:rPr>
        <w:t>нспектор КСП</w:t>
      </w:r>
      <w:r w:rsidR="00560833" w:rsidRPr="00BB61A4">
        <w:rPr>
          <w:sz w:val="28"/>
          <w:szCs w:val="28"/>
        </w:rPr>
        <w:t xml:space="preserve">         </w:t>
      </w:r>
      <w:r w:rsidR="00D8236F" w:rsidRPr="00BB61A4">
        <w:rPr>
          <w:sz w:val="28"/>
          <w:szCs w:val="28"/>
        </w:rPr>
        <w:t xml:space="preserve">      </w:t>
      </w:r>
      <w:r w:rsidR="00560833" w:rsidRPr="00BB61A4">
        <w:rPr>
          <w:sz w:val="28"/>
          <w:szCs w:val="28"/>
        </w:rPr>
        <w:t xml:space="preserve">              </w:t>
      </w:r>
      <w:r w:rsidRPr="00BB61A4">
        <w:rPr>
          <w:sz w:val="28"/>
          <w:szCs w:val="28"/>
        </w:rPr>
        <w:t xml:space="preserve">                       </w:t>
      </w:r>
      <w:r w:rsidR="00560833" w:rsidRPr="00BB61A4">
        <w:rPr>
          <w:sz w:val="28"/>
          <w:szCs w:val="28"/>
        </w:rPr>
        <w:t xml:space="preserve">              </w:t>
      </w:r>
      <w:r w:rsidR="00306E02" w:rsidRPr="00BB61A4">
        <w:rPr>
          <w:sz w:val="28"/>
          <w:szCs w:val="28"/>
        </w:rPr>
        <w:t xml:space="preserve">    </w:t>
      </w:r>
      <w:r w:rsidR="009D202D" w:rsidRPr="00BB61A4">
        <w:rPr>
          <w:sz w:val="28"/>
          <w:szCs w:val="28"/>
        </w:rPr>
        <w:t xml:space="preserve">   </w:t>
      </w:r>
      <w:r w:rsidR="00306E02" w:rsidRPr="00BB61A4">
        <w:rPr>
          <w:sz w:val="28"/>
          <w:szCs w:val="28"/>
        </w:rPr>
        <w:t xml:space="preserve"> </w:t>
      </w:r>
      <w:r w:rsidR="00560833" w:rsidRPr="00BB61A4">
        <w:rPr>
          <w:sz w:val="28"/>
          <w:szCs w:val="28"/>
        </w:rPr>
        <w:t xml:space="preserve"> </w:t>
      </w:r>
      <w:r w:rsidR="00D8236F" w:rsidRPr="00BB61A4">
        <w:rPr>
          <w:sz w:val="28"/>
          <w:szCs w:val="28"/>
        </w:rPr>
        <w:t xml:space="preserve"> </w:t>
      </w:r>
      <w:r w:rsidRPr="00BB61A4">
        <w:rPr>
          <w:sz w:val="28"/>
          <w:szCs w:val="28"/>
        </w:rPr>
        <w:t>Е.С. Мондриченко</w:t>
      </w:r>
    </w:p>
    <w:sectPr w:rsidR="001D0E12" w:rsidRPr="009D202D" w:rsidSect="000D6B61">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B26" w:rsidRDefault="007F6B26" w:rsidP="00EA646D">
      <w:r>
        <w:separator/>
      </w:r>
    </w:p>
  </w:endnote>
  <w:endnote w:type="continuationSeparator" w:id="0">
    <w:p w:rsidR="007F6B26" w:rsidRDefault="007F6B26" w:rsidP="00EA6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B26" w:rsidRDefault="007F6B26" w:rsidP="00EA646D">
      <w:r>
        <w:separator/>
      </w:r>
    </w:p>
  </w:footnote>
  <w:footnote w:type="continuationSeparator" w:id="0">
    <w:p w:rsidR="007F6B26" w:rsidRDefault="007F6B26" w:rsidP="00EA646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5882"/>
    <w:multiLevelType w:val="multilevel"/>
    <w:tmpl w:val="7C206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D10CBD"/>
    <w:multiLevelType w:val="multilevel"/>
    <w:tmpl w:val="D3B08A7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E66AEA"/>
    <w:multiLevelType w:val="hybridMultilevel"/>
    <w:tmpl w:val="A75A94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D036C07"/>
    <w:multiLevelType w:val="hybridMultilevel"/>
    <w:tmpl w:val="1BD6478C"/>
    <w:lvl w:ilvl="0" w:tplc="EF88CEA4">
      <w:start w:val="1"/>
      <w:numFmt w:val="decimal"/>
      <w:lvlText w:val="%1."/>
      <w:lvlJc w:val="left"/>
      <w:pPr>
        <w:tabs>
          <w:tab w:val="num" w:pos="2440"/>
        </w:tabs>
        <w:ind w:left="2440" w:hanging="100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15:restartNumberingAfterBreak="0">
    <w:nsid w:val="0F5E445D"/>
    <w:multiLevelType w:val="hybridMultilevel"/>
    <w:tmpl w:val="3872F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3277C9"/>
    <w:multiLevelType w:val="hybridMultilevel"/>
    <w:tmpl w:val="7338ACA0"/>
    <w:lvl w:ilvl="0" w:tplc="B42C963E">
      <w:start w:val="1"/>
      <w:numFmt w:val="decimal"/>
      <w:lvlText w:val="%1."/>
      <w:lvlJc w:val="left"/>
      <w:pPr>
        <w:tabs>
          <w:tab w:val="num" w:pos="1720"/>
        </w:tabs>
        <w:ind w:left="1720" w:hanging="100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10874985"/>
    <w:multiLevelType w:val="hybridMultilevel"/>
    <w:tmpl w:val="DBFC0682"/>
    <w:lvl w:ilvl="0" w:tplc="EF88CEA4">
      <w:start w:val="1"/>
      <w:numFmt w:val="decimal"/>
      <w:lvlText w:val="%1."/>
      <w:lvlJc w:val="left"/>
      <w:pPr>
        <w:tabs>
          <w:tab w:val="num" w:pos="1720"/>
        </w:tabs>
        <w:ind w:left="1720" w:hanging="100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14FE1BF5"/>
    <w:multiLevelType w:val="hybridMultilevel"/>
    <w:tmpl w:val="0DE8DE52"/>
    <w:lvl w:ilvl="0" w:tplc="04FC84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5FE671B"/>
    <w:multiLevelType w:val="hybridMultilevel"/>
    <w:tmpl w:val="A5CC06E8"/>
    <w:lvl w:ilvl="0" w:tplc="994EE9FE">
      <w:start w:val="1"/>
      <w:numFmt w:val="decimal"/>
      <w:lvlText w:val="%1."/>
      <w:lvlJc w:val="left"/>
      <w:pPr>
        <w:tabs>
          <w:tab w:val="num" w:pos="0"/>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C3E33F9"/>
    <w:multiLevelType w:val="hybridMultilevel"/>
    <w:tmpl w:val="CC9C0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7B732A"/>
    <w:multiLevelType w:val="hybridMultilevel"/>
    <w:tmpl w:val="B6F68D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15:restartNumberingAfterBreak="0">
    <w:nsid w:val="21F44C05"/>
    <w:multiLevelType w:val="hybridMultilevel"/>
    <w:tmpl w:val="491C1F9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15:restartNumberingAfterBreak="0">
    <w:nsid w:val="2EB63020"/>
    <w:multiLevelType w:val="hybridMultilevel"/>
    <w:tmpl w:val="BEE4DA42"/>
    <w:lvl w:ilvl="0" w:tplc="A402704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FF45EE4"/>
    <w:multiLevelType w:val="hybridMultilevel"/>
    <w:tmpl w:val="1D48A96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15:restartNumberingAfterBreak="0">
    <w:nsid w:val="302F3598"/>
    <w:multiLevelType w:val="hybridMultilevel"/>
    <w:tmpl w:val="5864510C"/>
    <w:lvl w:ilvl="0" w:tplc="CF080EFC">
      <w:start w:val="1"/>
      <w:numFmt w:val="decimal"/>
      <w:lvlText w:val="%1."/>
      <w:lvlJc w:val="left"/>
      <w:pPr>
        <w:ind w:left="90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31501326"/>
    <w:multiLevelType w:val="hybridMultilevel"/>
    <w:tmpl w:val="BD7A8D5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15:restartNumberingAfterBreak="0">
    <w:nsid w:val="39C21945"/>
    <w:multiLevelType w:val="hybridMultilevel"/>
    <w:tmpl w:val="1110FB8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4A070C"/>
    <w:multiLevelType w:val="hybridMultilevel"/>
    <w:tmpl w:val="BD04D4C2"/>
    <w:lvl w:ilvl="0" w:tplc="5D14336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433912E0"/>
    <w:multiLevelType w:val="hybridMultilevel"/>
    <w:tmpl w:val="B072B8B2"/>
    <w:lvl w:ilvl="0" w:tplc="FCF865FC">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A1F3B2C"/>
    <w:multiLevelType w:val="hybridMultilevel"/>
    <w:tmpl w:val="1326035A"/>
    <w:lvl w:ilvl="0" w:tplc="EF88CEA4">
      <w:start w:val="1"/>
      <w:numFmt w:val="decimal"/>
      <w:lvlText w:val="%1."/>
      <w:lvlJc w:val="left"/>
      <w:pPr>
        <w:tabs>
          <w:tab w:val="num" w:pos="1720"/>
        </w:tabs>
        <w:ind w:left="1720" w:hanging="100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4BF54171"/>
    <w:multiLevelType w:val="hybridMultilevel"/>
    <w:tmpl w:val="A9826EE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15:restartNumberingAfterBreak="0">
    <w:nsid w:val="4FB81B59"/>
    <w:multiLevelType w:val="hybridMultilevel"/>
    <w:tmpl w:val="82B27EB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3476F8"/>
    <w:multiLevelType w:val="multilevel"/>
    <w:tmpl w:val="72A49264"/>
    <w:lvl w:ilvl="0">
      <w:start w:val="1"/>
      <w:numFmt w:val="decimal"/>
      <w:lvlText w:val="%1."/>
      <w:lvlJc w:val="left"/>
      <w:pPr>
        <w:ind w:left="450" w:hanging="450"/>
      </w:pPr>
      <w:rPr>
        <w:rFonts w:hint="default"/>
      </w:rPr>
    </w:lvl>
    <w:lvl w:ilvl="1">
      <w:start w:val="1"/>
      <w:numFmt w:val="decimal"/>
      <w:lvlText w:val="%1.%2."/>
      <w:lvlJc w:val="left"/>
      <w:pPr>
        <w:ind w:left="1428" w:hanging="720"/>
      </w:pPr>
      <w:rPr>
        <w:rFonts w:ascii="Times New Roman" w:hAnsi="Times New Roman" w:cs="Times New Roman"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3" w15:restartNumberingAfterBreak="0">
    <w:nsid w:val="5DC1739B"/>
    <w:multiLevelType w:val="hybridMultilevel"/>
    <w:tmpl w:val="0DE8DE52"/>
    <w:lvl w:ilvl="0" w:tplc="04FC84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62954517"/>
    <w:multiLevelType w:val="hybridMultilevel"/>
    <w:tmpl w:val="CC9C0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A936C8"/>
    <w:multiLevelType w:val="hybridMultilevel"/>
    <w:tmpl w:val="9A2AC0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3FE5046"/>
    <w:multiLevelType w:val="hybridMultilevel"/>
    <w:tmpl w:val="AB44FE8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15:restartNumberingAfterBreak="0">
    <w:nsid w:val="66D004C7"/>
    <w:multiLevelType w:val="hybridMultilevel"/>
    <w:tmpl w:val="8BBC10C2"/>
    <w:lvl w:ilvl="0" w:tplc="EF88CEA4">
      <w:start w:val="1"/>
      <w:numFmt w:val="decimal"/>
      <w:lvlText w:val="%1."/>
      <w:lvlJc w:val="left"/>
      <w:pPr>
        <w:tabs>
          <w:tab w:val="num" w:pos="1720"/>
        </w:tabs>
        <w:ind w:left="1720" w:hanging="1000"/>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672135AF"/>
    <w:multiLevelType w:val="multilevel"/>
    <w:tmpl w:val="59349AC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8647FF3"/>
    <w:multiLevelType w:val="hybridMultilevel"/>
    <w:tmpl w:val="B52A98E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15:restartNumberingAfterBreak="0">
    <w:nsid w:val="6CB774D5"/>
    <w:multiLevelType w:val="hybridMultilevel"/>
    <w:tmpl w:val="E132F15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6D7C7AC2"/>
    <w:multiLevelType w:val="hybridMultilevel"/>
    <w:tmpl w:val="BA4A2D4E"/>
    <w:lvl w:ilvl="0" w:tplc="0419000F">
      <w:start w:val="3"/>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E9A5573"/>
    <w:multiLevelType w:val="hybridMultilevel"/>
    <w:tmpl w:val="CB18CB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F042B2C"/>
    <w:multiLevelType w:val="multilevel"/>
    <w:tmpl w:val="C49ABCC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77683515"/>
    <w:multiLevelType w:val="hybridMultilevel"/>
    <w:tmpl w:val="294829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9D83919"/>
    <w:multiLevelType w:val="hybridMultilevel"/>
    <w:tmpl w:val="CC9C0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265CF0"/>
    <w:multiLevelType w:val="hybridMultilevel"/>
    <w:tmpl w:val="9F6C8104"/>
    <w:lvl w:ilvl="0" w:tplc="80C0DE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A4F7E8F"/>
    <w:multiLevelType w:val="hybridMultilevel"/>
    <w:tmpl w:val="2856F8E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5"/>
  </w:num>
  <w:num w:numId="2">
    <w:abstractNumId w:val="13"/>
  </w:num>
  <w:num w:numId="3">
    <w:abstractNumId w:val="19"/>
  </w:num>
  <w:num w:numId="4">
    <w:abstractNumId w:val="3"/>
  </w:num>
  <w:num w:numId="5">
    <w:abstractNumId w:val="6"/>
  </w:num>
  <w:num w:numId="6">
    <w:abstractNumId w:val="15"/>
  </w:num>
  <w:num w:numId="7">
    <w:abstractNumId w:val="37"/>
  </w:num>
  <w:num w:numId="8">
    <w:abstractNumId w:val="29"/>
  </w:num>
  <w:num w:numId="9">
    <w:abstractNumId w:val="20"/>
  </w:num>
  <w:num w:numId="10">
    <w:abstractNumId w:val="30"/>
  </w:num>
  <w:num w:numId="11">
    <w:abstractNumId w:val="26"/>
  </w:num>
  <w:num w:numId="12">
    <w:abstractNumId w:val="2"/>
  </w:num>
  <w:num w:numId="13">
    <w:abstractNumId w:val="32"/>
  </w:num>
  <w:num w:numId="14">
    <w:abstractNumId w:val="25"/>
  </w:num>
  <w:num w:numId="15">
    <w:abstractNumId w:val="10"/>
  </w:num>
  <w:num w:numId="16">
    <w:abstractNumId w:val="11"/>
  </w:num>
  <w:num w:numId="17">
    <w:abstractNumId w:val="27"/>
  </w:num>
  <w:num w:numId="18">
    <w:abstractNumId w:val="34"/>
  </w:num>
  <w:num w:numId="19">
    <w:abstractNumId w:val="17"/>
  </w:num>
  <w:num w:numId="20">
    <w:abstractNumId w:val="8"/>
  </w:num>
  <w:num w:numId="21">
    <w:abstractNumId w:val="36"/>
  </w:num>
  <w:num w:numId="22">
    <w:abstractNumId w:val="0"/>
  </w:num>
  <w:num w:numId="23">
    <w:abstractNumId w:val="28"/>
  </w:num>
  <w:num w:numId="24">
    <w:abstractNumId w:val="24"/>
  </w:num>
  <w:num w:numId="25">
    <w:abstractNumId w:val="9"/>
  </w:num>
  <w:num w:numId="26">
    <w:abstractNumId w:val="35"/>
  </w:num>
  <w:num w:numId="27">
    <w:abstractNumId w:val="23"/>
  </w:num>
  <w:num w:numId="28">
    <w:abstractNumId w:val="33"/>
  </w:num>
  <w:num w:numId="29">
    <w:abstractNumId w:val="1"/>
  </w:num>
  <w:num w:numId="30">
    <w:abstractNumId w:val="12"/>
  </w:num>
  <w:num w:numId="31">
    <w:abstractNumId w:val="22"/>
  </w:num>
  <w:num w:numId="32">
    <w:abstractNumId w:val="14"/>
  </w:num>
  <w:num w:numId="33">
    <w:abstractNumId w:val="7"/>
  </w:num>
  <w:num w:numId="34">
    <w:abstractNumId w:val="4"/>
  </w:num>
  <w:num w:numId="35">
    <w:abstractNumId w:val="21"/>
  </w:num>
  <w:num w:numId="36">
    <w:abstractNumId w:val="31"/>
  </w:num>
  <w:num w:numId="37">
    <w:abstractNumId w:val="18"/>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B5C"/>
    <w:rsid w:val="00011A4F"/>
    <w:rsid w:val="00037587"/>
    <w:rsid w:val="00040631"/>
    <w:rsid w:val="000436F4"/>
    <w:rsid w:val="00073405"/>
    <w:rsid w:val="00090F4F"/>
    <w:rsid w:val="00092E12"/>
    <w:rsid w:val="000A50F6"/>
    <w:rsid w:val="000C4ECD"/>
    <w:rsid w:val="000C6A79"/>
    <w:rsid w:val="000D08BA"/>
    <w:rsid w:val="000D6B61"/>
    <w:rsid w:val="000E189A"/>
    <w:rsid w:val="00100D7C"/>
    <w:rsid w:val="001539E2"/>
    <w:rsid w:val="00163A5A"/>
    <w:rsid w:val="001642FC"/>
    <w:rsid w:val="00172550"/>
    <w:rsid w:val="00173187"/>
    <w:rsid w:val="001A1B7C"/>
    <w:rsid w:val="001B77CF"/>
    <w:rsid w:val="001D0E12"/>
    <w:rsid w:val="001E35C9"/>
    <w:rsid w:val="002323CF"/>
    <w:rsid w:val="002619C5"/>
    <w:rsid w:val="002726EE"/>
    <w:rsid w:val="002731F9"/>
    <w:rsid w:val="00276A1F"/>
    <w:rsid w:val="002A5A7F"/>
    <w:rsid w:val="002B1DD5"/>
    <w:rsid w:val="002B4757"/>
    <w:rsid w:val="00305A39"/>
    <w:rsid w:val="00306E02"/>
    <w:rsid w:val="00316C39"/>
    <w:rsid w:val="00364746"/>
    <w:rsid w:val="003B36C4"/>
    <w:rsid w:val="003C1BDA"/>
    <w:rsid w:val="00407C19"/>
    <w:rsid w:val="004324D5"/>
    <w:rsid w:val="004971DC"/>
    <w:rsid w:val="004B1616"/>
    <w:rsid w:val="004C27C7"/>
    <w:rsid w:val="004C3CB5"/>
    <w:rsid w:val="004D3483"/>
    <w:rsid w:val="004F1A15"/>
    <w:rsid w:val="00524B50"/>
    <w:rsid w:val="005275F7"/>
    <w:rsid w:val="005419AF"/>
    <w:rsid w:val="00560833"/>
    <w:rsid w:val="005742F9"/>
    <w:rsid w:val="00587EAF"/>
    <w:rsid w:val="005B55E8"/>
    <w:rsid w:val="005D00C1"/>
    <w:rsid w:val="006026B3"/>
    <w:rsid w:val="00611592"/>
    <w:rsid w:val="006156FC"/>
    <w:rsid w:val="00616949"/>
    <w:rsid w:val="00616AD6"/>
    <w:rsid w:val="00643F26"/>
    <w:rsid w:val="00672663"/>
    <w:rsid w:val="00674EFA"/>
    <w:rsid w:val="00683C8F"/>
    <w:rsid w:val="006B64D6"/>
    <w:rsid w:val="006C02E1"/>
    <w:rsid w:val="00727B03"/>
    <w:rsid w:val="00730B75"/>
    <w:rsid w:val="0076094C"/>
    <w:rsid w:val="00781C4A"/>
    <w:rsid w:val="00787987"/>
    <w:rsid w:val="00791A4C"/>
    <w:rsid w:val="007B43AE"/>
    <w:rsid w:val="007F006C"/>
    <w:rsid w:val="007F6B26"/>
    <w:rsid w:val="00814DBB"/>
    <w:rsid w:val="00821C87"/>
    <w:rsid w:val="00822823"/>
    <w:rsid w:val="00824A9B"/>
    <w:rsid w:val="00843F0C"/>
    <w:rsid w:val="00853506"/>
    <w:rsid w:val="008547D9"/>
    <w:rsid w:val="00861E43"/>
    <w:rsid w:val="00866A99"/>
    <w:rsid w:val="00875BFE"/>
    <w:rsid w:val="00892E5A"/>
    <w:rsid w:val="008A5D7D"/>
    <w:rsid w:val="008A5E4D"/>
    <w:rsid w:val="008B0C00"/>
    <w:rsid w:val="008B3CC7"/>
    <w:rsid w:val="008D436B"/>
    <w:rsid w:val="008E4122"/>
    <w:rsid w:val="009335E7"/>
    <w:rsid w:val="00943768"/>
    <w:rsid w:val="009813DB"/>
    <w:rsid w:val="00990464"/>
    <w:rsid w:val="009A30E0"/>
    <w:rsid w:val="009B2F78"/>
    <w:rsid w:val="009D202D"/>
    <w:rsid w:val="00A43416"/>
    <w:rsid w:val="00A47C0A"/>
    <w:rsid w:val="00A558C6"/>
    <w:rsid w:val="00A61DE8"/>
    <w:rsid w:val="00A74701"/>
    <w:rsid w:val="00A8333F"/>
    <w:rsid w:val="00A85573"/>
    <w:rsid w:val="00A96FA7"/>
    <w:rsid w:val="00AC696D"/>
    <w:rsid w:val="00AD54A7"/>
    <w:rsid w:val="00AE17DE"/>
    <w:rsid w:val="00AE7D8F"/>
    <w:rsid w:val="00B06F3A"/>
    <w:rsid w:val="00B12D85"/>
    <w:rsid w:val="00B4366B"/>
    <w:rsid w:val="00B4488E"/>
    <w:rsid w:val="00B56F72"/>
    <w:rsid w:val="00BB02BA"/>
    <w:rsid w:val="00BB61A4"/>
    <w:rsid w:val="00BF178D"/>
    <w:rsid w:val="00BF770D"/>
    <w:rsid w:val="00BF7ECA"/>
    <w:rsid w:val="00C02712"/>
    <w:rsid w:val="00C40BD6"/>
    <w:rsid w:val="00C806D1"/>
    <w:rsid w:val="00CA25E9"/>
    <w:rsid w:val="00CC5F38"/>
    <w:rsid w:val="00CD5108"/>
    <w:rsid w:val="00D1341B"/>
    <w:rsid w:val="00D17A4D"/>
    <w:rsid w:val="00D4072E"/>
    <w:rsid w:val="00D42991"/>
    <w:rsid w:val="00D74EE9"/>
    <w:rsid w:val="00D8236F"/>
    <w:rsid w:val="00DA366D"/>
    <w:rsid w:val="00DE0B5C"/>
    <w:rsid w:val="00DF38AD"/>
    <w:rsid w:val="00E0351C"/>
    <w:rsid w:val="00E64D6E"/>
    <w:rsid w:val="00E66D4C"/>
    <w:rsid w:val="00E70B58"/>
    <w:rsid w:val="00E7573A"/>
    <w:rsid w:val="00E80BF0"/>
    <w:rsid w:val="00E85B6F"/>
    <w:rsid w:val="00EA17FC"/>
    <w:rsid w:val="00EA646D"/>
    <w:rsid w:val="00EC1D80"/>
    <w:rsid w:val="00EE2EC7"/>
    <w:rsid w:val="00EF6EE5"/>
    <w:rsid w:val="00F13C93"/>
    <w:rsid w:val="00F22955"/>
    <w:rsid w:val="00F3440B"/>
    <w:rsid w:val="00F54731"/>
    <w:rsid w:val="00FD65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B36ADD-6F27-4246-A251-F77032608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B5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1D0E12"/>
    <w:pPr>
      <w:autoSpaceDE w:val="0"/>
      <w:autoSpaceDN w:val="0"/>
      <w:adjustRightInd w:val="0"/>
      <w:spacing w:before="108" w:after="108"/>
      <w:jc w:val="center"/>
      <w:outlineLvl w:val="0"/>
    </w:pPr>
    <w:rPr>
      <w:rFonts w:ascii="Arial" w:hAnsi="Arial" w:cs="Arial"/>
      <w:b/>
      <w:bCs/>
      <w:color w:val="000080"/>
      <w:sz w:val="24"/>
      <w:szCs w:val="24"/>
    </w:rPr>
  </w:style>
  <w:style w:type="paragraph" w:styleId="2">
    <w:name w:val="heading 2"/>
    <w:basedOn w:val="a"/>
    <w:next w:val="a"/>
    <w:link w:val="20"/>
    <w:semiHidden/>
    <w:unhideWhenUsed/>
    <w:qFormat/>
    <w:rsid w:val="00DE0B5C"/>
    <w:pPr>
      <w:keepNext/>
      <w:outlineLvl w:val="1"/>
    </w:pPr>
    <w:rPr>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E0B5C"/>
    <w:rPr>
      <w:rFonts w:ascii="Times New Roman" w:eastAsia="Times New Roman" w:hAnsi="Times New Roman" w:cs="Times New Roman"/>
      <w:b/>
      <w:sz w:val="30"/>
      <w:szCs w:val="20"/>
      <w:lang w:eastAsia="ru-RU"/>
    </w:rPr>
  </w:style>
  <w:style w:type="paragraph" w:styleId="a3">
    <w:name w:val="Body Text Indent"/>
    <w:basedOn w:val="a"/>
    <w:link w:val="a4"/>
    <w:semiHidden/>
    <w:unhideWhenUsed/>
    <w:rsid w:val="00DE0B5C"/>
    <w:pPr>
      <w:spacing w:after="120"/>
      <w:ind w:left="283"/>
    </w:pPr>
  </w:style>
  <w:style w:type="character" w:customStyle="1" w:styleId="a4">
    <w:name w:val="Основной текст с отступом Знак"/>
    <w:basedOn w:val="a0"/>
    <w:link w:val="a3"/>
    <w:semiHidden/>
    <w:rsid w:val="00DE0B5C"/>
    <w:rPr>
      <w:rFonts w:ascii="Times New Roman" w:eastAsia="Times New Roman" w:hAnsi="Times New Roman" w:cs="Times New Roman"/>
      <w:sz w:val="20"/>
      <w:szCs w:val="20"/>
      <w:lang w:eastAsia="ru-RU"/>
    </w:rPr>
  </w:style>
  <w:style w:type="paragraph" w:styleId="a5">
    <w:name w:val="No Spacing"/>
    <w:uiPriority w:val="1"/>
    <w:qFormat/>
    <w:rsid w:val="00DE0B5C"/>
    <w:pPr>
      <w:spacing w:after="0" w:line="240" w:lineRule="auto"/>
    </w:pPr>
    <w:rPr>
      <w:rFonts w:ascii="Times New Roman" w:eastAsia="Times New Roman" w:hAnsi="Times New Roman" w:cs="Times New Roman"/>
      <w:sz w:val="24"/>
      <w:szCs w:val="24"/>
      <w:lang w:eastAsia="ru-RU"/>
    </w:rPr>
  </w:style>
  <w:style w:type="paragraph" w:styleId="a6">
    <w:name w:val="Plain Text"/>
    <w:basedOn w:val="a"/>
    <w:link w:val="a7"/>
    <w:rsid w:val="001B77CF"/>
    <w:rPr>
      <w:rFonts w:ascii="Courier New" w:hAnsi="Courier New"/>
    </w:rPr>
  </w:style>
  <w:style w:type="character" w:customStyle="1" w:styleId="a7">
    <w:name w:val="Текст Знак"/>
    <w:basedOn w:val="a0"/>
    <w:link w:val="a6"/>
    <w:rsid w:val="001B77CF"/>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9"/>
    <w:rsid w:val="001D0E12"/>
    <w:rPr>
      <w:rFonts w:ascii="Arial" w:eastAsia="Times New Roman" w:hAnsi="Arial" w:cs="Arial"/>
      <w:b/>
      <w:bCs/>
      <w:color w:val="000080"/>
      <w:sz w:val="24"/>
      <w:szCs w:val="24"/>
      <w:lang w:eastAsia="ru-RU"/>
    </w:rPr>
  </w:style>
  <w:style w:type="paragraph" w:styleId="a8">
    <w:name w:val="header"/>
    <w:basedOn w:val="a"/>
    <w:link w:val="a9"/>
    <w:rsid w:val="001D0E12"/>
    <w:pPr>
      <w:tabs>
        <w:tab w:val="center" w:pos="4677"/>
        <w:tab w:val="right" w:pos="9355"/>
      </w:tabs>
    </w:pPr>
    <w:rPr>
      <w:sz w:val="24"/>
      <w:szCs w:val="24"/>
    </w:rPr>
  </w:style>
  <w:style w:type="character" w:customStyle="1" w:styleId="a9">
    <w:name w:val="Верхний колонтитул Знак"/>
    <w:basedOn w:val="a0"/>
    <w:link w:val="a8"/>
    <w:uiPriority w:val="99"/>
    <w:rsid w:val="001D0E12"/>
    <w:rPr>
      <w:rFonts w:ascii="Times New Roman" w:eastAsia="Times New Roman" w:hAnsi="Times New Roman" w:cs="Times New Roman"/>
      <w:sz w:val="24"/>
      <w:szCs w:val="24"/>
      <w:lang w:eastAsia="ru-RU"/>
    </w:rPr>
  </w:style>
  <w:style w:type="character" w:styleId="aa">
    <w:name w:val="page number"/>
    <w:basedOn w:val="a0"/>
    <w:rsid w:val="001D0E12"/>
  </w:style>
  <w:style w:type="paragraph" w:styleId="ab">
    <w:name w:val="footnote text"/>
    <w:aliases w:val="Знак,Знак Знак,Текст сноски Знак Знак,Текст сноски НИВ,fn,Знак Знак Знак Знак1,Знак Знак Знак,Текст сноски Знак1 Знак,Текст сноски Знак Знак1 Знак,Знак Знак Знак1 Знак,Текст сноски Знак1,Текст сноски Знак Знак1"/>
    <w:basedOn w:val="a"/>
    <w:link w:val="ac"/>
    <w:qFormat/>
    <w:rsid w:val="001D0E12"/>
  </w:style>
  <w:style w:type="character" w:customStyle="1" w:styleId="ac">
    <w:name w:val="Текст сноски Знак"/>
    <w:aliases w:val="Знак Знак1,Знак Знак Знак1,Текст сноски Знак Знак Знак,Текст сноски НИВ Знак,fn Знак,Знак Знак Знак Знак1 Знак,Знак Знак Знак Знак,Текст сноски Знак1 Знак Знак,Текст сноски Знак Знак1 Знак Знак,Знак Знак Знак1 Знак Знак"/>
    <w:basedOn w:val="a0"/>
    <w:link w:val="ab"/>
    <w:rsid w:val="001D0E12"/>
    <w:rPr>
      <w:rFonts w:ascii="Times New Roman" w:eastAsia="Times New Roman" w:hAnsi="Times New Roman" w:cs="Times New Roman"/>
      <w:sz w:val="20"/>
      <w:szCs w:val="20"/>
      <w:lang w:eastAsia="ru-RU"/>
    </w:rPr>
  </w:style>
  <w:style w:type="character" w:styleId="ad">
    <w:name w:val="footnote reference"/>
    <w:aliases w:val="текст сноски,анкета сноска,Знак сноски-FN,Ciae niinee-FN,Знак сноски 1,Ciae niinee 1,fr,Used by Word for Help footnote symbols,Avg - Знак сноски,avg-Знак сноски,Referencia nota al pie,ООО Знак сноски,СНОСКА,сноска1,ftref,Avg,вески,ХИА_ЗС"/>
    <w:qFormat/>
    <w:rsid w:val="001D0E12"/>
    <w:rPr>
      <w:vertAlign w:val="superscript"/>
    </w:rPr>
  </w:style>
  <w:style w:type="character" w:styleId="ae">
    <w:name w:val="annotation reference"/>
    <w:semiHidden/>
    <w:rsid w:val="001D0E12"/>
    <w:rPr>
      <w:sz w:val="16"/>
      <w:szCs w:val="16"/>
    </w:rPr>
  </w:style>
  <w:style w:type="paragraph" w:styleId="af">
    <w:name w:val="annotation text"/>
    <w:basedOn w:val="a"/>
    <w:link w:val="af0"/>
    <w:semiHidden/>
    <w:rsid w:val="001D0E12"/>
  </w:style>
  <w:style w:type="character" w:customStyle="1" w:styleId="af0">
    <w:name w:val="Текст примечания Знак"/>
    <w:basedOn w:val="a0"/>
    <w:link w:val="af"/>
    <w:semiHidden/>
    <w:rsid w:val="001D0E12"/>
    <w:rPr>
      <w:rFonts w:ascii="Times New Roman" w:eastAsia="Times New Roman" w:hAnsi="Times New Roman" w:cs="Times New Roman"/>
      <w:sz w:val="20"/>
      <w:szCs w:val="20"/>
      <w:lang w:eastAsia="ru-RU"/>
    </w:rPr>
  </w:style>
  <w:style w:type="paragraph" w:styleId="af1">
    <w:name w:val="annotation subject"/>
    <w:basedOn w:val="af"/>
    <w:next w:val="af"/>
    <w:link w:val="af2"/>
    <w:semiHidden/>
    <w:rsid w:val="001D0E12"/>
    <w:rPr>
      <w:b/>
      <w:bCs/>
    </w:rPr>
  </w:style>
  <w:style w:type="character" w:customStyle="1" w:styleId="af2">
    <w:name w:val="Тема примечания Знак"/>
    <w:basedOn w:val="af0"/>
    <w:link w:val="af1"/>
    <w:semiHidden/>
    <w:rsid w:val="001D0E12"/>
    <w:rPr>
      <w:rFonts w:ascii="Times New Roman" w:eastAsia="Times New Roman" w:hAnsi="Times New Roman" w:cs="Times New Roman"/>
      <w:b/>
      <w:bCs/>
      <w:sz w:val="20"/>
      <w:szCs w:val="20"/>
      <w:lang w:eastAsia="ru-RU"/>
    </w:rPr>
  </w:style>
  <w:style w:type="paragraph" w:styleId="af3">
    <w:name w:val="Balloon Text"/>
    <w:basedOn w:val="a"/>
    <w:link w:val="af4"/>
    <w:semiHidden/>
    <w:rsid w:val="001D0E12"/>
    <w:rPr>
      <w:rFonts w:ascii="Tahoma" w:hAnsi="Tahoma" w:cs="Tahoma"/>
      <w:sz w:val="16"/>
      <w:szCs w:val="16"/>
    </w:rPr>
  </w:style>
  <w:style w:type="character" w:customStyle="1" w:styleId="af4">
    <w:name w:val="Текст выноски Знак"/>
    <w:basedOn w:val="a0"/>
    <w:link w:val="af3"/>
    <w:semiHidden/>
    <w:rsid w:val="001D0E12"/>
    <w:rPr>
      <w:rFonts w:ascii="Tahoma" w:eastAsia="Times New Roman" w:hAnsi="Tahoma" w:cs="Tahoma"/>
      <w:sz w:val="16"/>
      <w:szCs w:val="16"/>
      <w:lang w:eastAsia="ru-RU"/>
    </w:rPr>
  </w:style>
  <w:style w:type="table" w:styleId="af5">
    <w:name w:val="Table Grid"/>
    <w:basedOn w:val="a1"/>
    <w:rsid w:val="001D0E1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ый1"/>
    <w:rsid w:val="001D0E12"/>
    <w:pPr>
      <w:spacing w:after="0" w:line="240" w:lineRule="auto"/>
    </w:pPr>
    <w:rPr>
      <w:rFonts w:ascii="Times New Roman" w:eastAsia="Times New Roman" w:hAnsi="Times New Roman" w:cs="Times New Roman"/>
      <w:sz w:val="20"/>
      <w:szCs w:val="20"/>
      <w:lang w:eastAsia="ru-RU"/>
    </w:rPr>
  </w:style>
  <w:style w:type="paragraph" w:styleId="af6">
    <w:name w:val="Body Text"/>
    <w:basedOn w:val="a"/>
    <w:link w:val="af7"/>
    <w:unhideWhenUsed/>
    <w:rsid w:val="001D0E12"/>
    <w:pPr>
      <w:spacing w:after="120"/>
    </w:pPr>
    <w:rPr>
      <w:sz w:val="24"/>
      <w:szCs w:val="24"/>
    </w:rPr>
  </w:style>
  <w:style w:type="character" w:customStyle="1" w:styleId="af7">
    <w:name w:val="Основной текст Знак"/>
    <w:basedOn w:val="a0"/>
    <w:link w:val="af6"/>
    <w:rsid w:val="001D0E12"/>
    <w:rPr>
      <w:rFonts w:ascii="Times New Roman" w:eastAsia="Times New Roman" w:hAnsi="Times New Roman" w:cs="Times New Roman"/>
      <w:sz w:val="24"/>
      <w:szCs w:val="24"/>
      <w:lang w:eastAsia="ru-RU"/>
    </w:rPr>
  </w:style>
  <w:style w:type="paragraph" w:customStyle="1" w:styleId="12">
    <w:name w:val="Заголовок1"/>
    <w:basedOn w:val="a"/>
    <w:next w:val="a"/>
    <w:uiPriority w:val="99"/>
    <w:rsid w:val="001D0E12"/>
    <w:pPr>
      <w:widowControl w:val="0"/>
      <w:autoSpaceDE w:val="0"/>
      <w:autoSpaceDN w:val="0"/>
      <w:adjustRightInd w:val="0"/>
      <w:jc w:val="both"/>
    </w:pPr>
    <w:rPr>
      <w:rFonts w:ascii="Arial" w:hAnsi="Arial" w:cs="Arial"/>
      <w:b/>
      <w:bCs/>
      <w:color w:val="0058A9"/>
      <w:sz w:val="24"/>
      <w:szCs w:val="24"/>
      <w:shd w:val="clear" w:color="auto" w:fill="F4F4F4"/>
    </w:rPr>
  </w:style>
  <w:style w:type="character" w:customStyle="1" w:styleId="af8">
    <w:name w:val="Гипертекстовая ссылка"/>
    <w:uiPriority w:val="99"/>
    <w:rsid w:val="001D0E12"/>
    <w:rPr>
      <w:color w:val="106BBE"/>
    </w:rPr>
  </w:style>
  <w:style w:type="paragraph" w:customStyle="1" w:styleId="ConsPlusNonformat">
    <w:name w:val="ConsPlusNonformat"/>
    <w:uiPriority w:val="99"/>
    <w:rsid w:val="001D0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Обычный2"/>
    <w:rsid w:val="006156FC"/>
    <w:pPr>
      <w:spacing w:after="0" w:line="240" w:lineRule="auto"/>
    </w:pPr>
    <w:rPr>
      <w:rFonts w:ascii="Times New Roman" w:eastAsia="Times New Roman" w:hAnsi="Times New Roman" w:cs="Times New Roman"/>
      <w:sz w:val="20"/>
      <w:szCs w:val="20"/>
      <w:lang w:eastAsia="ru-RU"/>
    </w:rPr>
  </w:style>
  <w:style w:type="paragraph" w:customStyle="1" w:styleId="af9">
    <w:name w:val="Прижатый влево"/>
    <w:basedOn w:val="a"/>
    <w:next w:val="a"/>
    <w:uiPriority w:val="99"/>
    <w:rsid w:val="006156FC"/>
    <w:pPr>
      <w:autoSpaceDE w:val="0"/>
      <w:autoSpaceDN w:val="0"/>
      <w:adjustRightInd w:val="0"/>
    </w:pPr>
    <w:rPr>
      <w:rFonts w:ascii="Arial" w:hAnsi="Arial" w:cs="Arial"/>
      <w:sz w:val="24"/>
      <w:szCs w:val="24"/>
    </w:rPr>
  </w:style>
  <w:style w:type="paragraph" w:styleId="afa">
    <w:name w:val="Normal (Web)"/>
    <w:basedOn w:val="a"/>
    <w:uiPriority w:val="99"/>
    <w:unhideWhenUsed/>
    <w:rsid w:val="006156FC"/>
    <w:pPr>
      <w:spacing w:before="100" w:beforeAutospacing="1" w:after="100" w:afterAutospacing="1"/>
    </w:pPr>
    <w:rPr>
      <w:sz w:val="24"/>
      <w:szCs w:val="24"/>
    </w:rPr>
  </w:style>
  <w:style w:type="paragraph" w:customStyle="1" w:styleId="afb">
    <w:name w:val="Знак Знак Знак Знак Знак Знак Знак"/>
    <w:basedOn w:val="a"/>
    <w:rsid w:val="006156FC"/>
    <w:pPr>
      <w:spacing w:after="160" w:line="240" w:lineRule="exact"/>
    </w:pPr>
  </w:style>
  <w:style w:type="paragraph" w:customStyle="1" w:styleId="3">
    <w:name w:val="Обычный3"/>
    <w:rsid w:val="00F22955"/>
    <w:pPr>
      <w:spacing w:after="0" w:line="240" w:lineRule="auto"/>
    </w:pPr>
    <w:rPr>
      <w:rFonts w:ascii="Times New Roman" w:eastAsia="Times New Roman" w:hAnsi="Times New Roman" w:cs="Times New Roman"/>
      <w:sz w:val="20"/>
      <w:szCs w:val="20"/>
      <w:lang w:eastAsia="ru-RU"/>
    </w:rPr>
  </w:style>
  <w:style w:type="paragraph" w:customStyle="1" w:styleId="afc">
    <w:name w:val="Таблицы (моноширинный)"/>
    <w:basedOn w:val="a"/>
    <w:next w:val="a"/>
    <w:uiPriority w:val="99"/>
    <w:rsid w:val="00F22955"/>
    <w:pPr>
      <w:autoSpaceDE w:val="0"/>
      <w:autoSpaceDN w:val="0"/>
      <w:adjustRightInd w:val="0"/>
      <w:jc w:val="both"/>
    </w:pPr>
    <w:rPr>
      <w:rFonts w:ascii="Courier New" w:hAnsi="Courier New" w:cs="Courier New"/>
      <w:sz w:val="22"/>
      <w:szCs w:val="22"/>
    </w:rPr>
  </w:style>
  <w:style w:type="character" w:styleId="afd">
    <w:name w:val="Hyperlink"/>
    <w:basedOn w:val="a0"/>
    <w:rsid w:val="00A85573"/>
    <w:rPr>
      <w:color w:val="0000FF"/>
      <w:u w:val="single"/>
    </w:rPr>
  </w:style>
  <w:style w:type="paragraph" w:styleId="afe">
    <w:name w:val="List Paragraph"/>
    <w:basedOn w:val="a"/>
    <w:uiPriority w:val="34"/>
    <w:qFormat/>
    <w:rsid w:val="00821C87"/>
    <w:pPr>
      <w:ind w:left="720"/>
      <w:contextualSpacing/>
    </w:pPr>
    <w:rPr>
      <w:sz w:val="24"/>
      <w:szCs w:val="24"/>
    </w:rPr>
  </w:style>
  <w:style w:type="paragraph" w:customStyle="1" w:styleId="s1">
    <w:name w:val="s_1"/>
    <w:basedOn w:val="a"/>
    <w:rsid w:val="00821C87"/>
    <w:pPr>
      <w:spacing w:before="100" w:beforeAutospacing="1" w:after="100" w:afterAutospacing="1"/>
    </w:pPr>
    <w:rPr>
      <w:sz w:val="24"/>
      <w:szCs w:val="24"/>
    </w:rPr>
  </w:style>
  <w:style w:type="character" w:customStyle="1" w:styleId="13">
    <w:name w:val="Основной текст Знак1"/>
    <w:uiPriority w:val="99"/>
    <w:locked/>
    <w:rsid w:val="00011A4F"/>
    <w:rPr>
      <w:rFonts w:ascii="Times New Roman" w:hAnsi="Times New Roman" w:cs="Times New Roman" w:hint="default"/>
      <w:shd w:val="clear" w:color="auto" w:fill="FFFFFF"/>
    </w:rPr>
  </w:style>
  <w:style w:type="paragraph" w:customStyle="1" w:styleId="Default">
    <w:name w:val="Default"/>
    <w:rsid w:val="001A1B7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691547">
      <w:bodyDiv w:val="1"/>
      <w:marLeft w:val="0"/>
      <w:marRight w:val="0"/>
      <w:marTop w:val="0"/>
      <w:marBottom w:val="0"/>
      <w:divBdr>
        <w:top w:val="none" w:sz="0" w:space="0" w:color="auto"/>
        <w:left w:val="none" w:sz="0" w:space="0" w:color="auto"/>
        <w:bottom w:val="none" w:sz="0" w:space="0" w:color="auto"/>
        <w:right w:val="none" w:sz="0" w:space="0" w:color="auto"/>
      </w:divBdr>
    </w:div>
    <w:div w:id="806897297">
      <w:bodyDiv w:val="1"/>
      <w:marLeft w:val="0"/>
      <w:marRight w:val="0"/>
      <w:marTop w:val="0"/>
      <w:marBottom w:val="0"/>
      <w:divBdr>
        <w:top w:val="none" w:sz="0" w:space="0" w:color="auto"/>
        <w:left w:val="none" w:sz="0" w:space="0" w:color="auto"/>
        <w:bottom w:val="none" w:sz="0" w:space="0" w:color="auto"/>
        <w:right w:val="none" w:sz="0" w:space="0" w:color="auto"/>
      </w:divBdr>
    </w:div>
    <w:div w:id="1469132778">
      <w:bodyDiv w:val="1"/>
      <w:marLeft w:val="0"/>
      <w:marRight w:val="0"/>
      <w:marTop w:val="0"/>
      <w:marBottom w:val="0"/>
      <w:divBdr>
        <w:top w:val="none" w:sz="0" w:space="0" w:color="auto"/>
        <w:left w:val="none" w:sz="0" w:space="0" w:color="auto"/>
        <w:bottom w:val="none" w:sz="0" w:space="0" w:color="auto"/>
        <w:right w:val="none" w:sz="0" w:space="0" w:color="auto"/>
      </w:divBdr>
    </w:div>
    <w:div w:id="1471442652">
      <w:bodyDiv w:val="1"/>
      <w:marLeft w:val="0"/>
      <w:marRight w:val="0"/>
      <w:marTop w:val="0"/>
      <w:marBottom w:val="0"/>
      <w:divBdr>
        <w:top w:val="none" w:sz="0" w:space="0" w:color="auto"/>
        <w:left w:val="none" w:sz="0" w:space="0" w:color="auto"/>
        <w:bottom w:val="none" w:sz="0" w:space="0" w:color="auto"/>
        <w:right w:val="none" w:sz="0" w:space="0" w:color="auto"/>
      </w:divBdr>
    </w:div>
    <w:div w:id="178264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BD59D-A8AF-4369-82F2-6815BA26A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2111</Words>
  <Characters>12036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КСП</dc:creator>
  <cp:lastModifiedBy>Сочнева</cp:lastModifiedBy>
  <cp:revision>13</cp:revision>
  <cp:lastPrinted>2021-04-28T14:48:00Z</cp:lastPrinted>
  <dcterms:created xsi:type="dcterms:W3CDTF">2022-05-04T08:56:00Z</dcterms:created>
  <dcterms:modified xsi:type="dcterms:W3CDTF">2022-05-16T13:32:00Z</dcterms:modified>
</cp:coreProperties>
</file>